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95" w:rsidRPr="00D55A97" w:rsidRDefault="00064E5F" w:rsidP="00064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A97">
        <w:rPr>
          <w:rFonts w:ascii="Times New Roman" w:hAnsi="Times New Roman"/>
          <w:b/>
          <w:sz w:val="28"/>
          <w:szCs w:val="28"/>
        </w:rPr>
        <w:t>ДОКЛАД</w:t>
      </w:r>
    </w:p>
    <w:p w:rsidR="00064E5F" w:rsidRPr="00D55A97" w:rsidRDefault="00C3152D" w:rsidP="00064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A97">
        <w:rPr>
          <w:rFonts w:ascii="Times New Roman" w:hAnsi="Times New Roman"/>
          <w:b/>
          <w:sz w:val="28"/>
          <w:szCs w:val="28"/>
        </w:rPr>
        <w:t>о</w:t>
      </w:r>
      <w:r w:rsidR="00064E5F" w:rsidRPr="00D55A97">
        <w:rPr>
          <w:rFonts w:ascii="Times New Roman" w:hAnsi="Times New Roman"/>
          <w:b/>
          <w:sz w:val="28"/>
          <w:szCs w:val="28"/>
        </w:rPr>
        <w:t xml:space="preserve"> состоянии и развитии конкурентной среды на рынках товаров, работ и услуг Фурмановск</w:t>
      </w:r>
      <w:r w:rsidR="00E1725A" w:rsidRPr="00D55A97">
        <w:rPr>
          <w:rFonts w:ascii="Times New Roman" w:hAnsi="Times New Roman"/>
          <w:b/>
          <w:sz w:val="28"/>
          <w:szCs w:val="28"/>
        </w:rPr>
        <w:t>ого муниципального района за 202</w:t>
      </w:r>
      <w:r w:rsidR="00E61977">
        <w:rPr>
          <w:rFonts w:ascii="Times New Roman" w:hAnsi="Times New Roman"/>
          <w:b/>
          <w:sz w:val="28"/>
          <w:szCs w:val="28"/>
        </w:rPr>
        <w:t>4</w:t>
      </w:r>
      <w:r w:rsidR="00064E5F" w:rsidRPr="00D55A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4E5F" w:rsidRDefault="00064E5F" w:rsidP="00064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09E" w:rsidRDefault="00AA309E" w:rsidP="00064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E5F" w:rsidRDefault="003C4D83" w:rsidP="00D55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Стандарта развития конкуренции в Фурмановском муниципальном районе осуществляется в соответствии с Соглашением между Правительством Ивановской области и администрацией Фурмановского муниципального района о внедрении в Ивановской области стандарта развития конкуренции от 09.12.2016г.</w:t>
      </w:r>
      <w:r w:rsidR="00064292">
        <w:rPr>
          <w:rFonts w:ascii="Times New Roman" w:hAnsi="Times New Roman"/>
          <w:sz w:val="28"/>
          <w:szCs w:val="28"/>
        </w:rPr>
        <w:t xml:space="preserve"> (далее – Соглашение).</w:t>
      </w:r>
    </w:p>
    <w:p w:rsidR="003C4D83" w:rsidRDefault="003C4D83" w:rsidP="00D55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оценки состояния и развития конкурентной среды на рынках товаров, работ и услуг Фурмановского муниципального района</w:t>
      </w:r>
      <w:r w:rsidR="00064292">
        <w:rPr>
          <w:rFonts w:ascii="Times New Roman" w:hAnsi="Times New Roman"/>
          <w:sz w:val="28"/>
          <w:szCs w:val="28"/>
        </w:rPr>
        <w:t xml:space="preserve"> и в соответствии с пунктом 4.2 Соглашения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Pr="003C4D83">
        <w:rPr>
          <w:rFonts w:ascii="Times New Roman" w:hAnsi="Times New Roman"/>
          <w:sz w:val="28"/>
          <w:szCs w:val="28"/>
        </w:rPr>
        <w:t>Фурмановского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был проведен мониторинг состояния и развития</w:t>
      </w:r>
      <w:r w:rsidRPr="003C4D83">
        <w:t xml:space="preserve"> </w:t>
      </w:r>
      <w:r w:rsidRPr="003C4D83">
        <w:rPr>
          <w:rFonts w:ascii="Times New Roman" w:hAnsi="Times New Roman"/>
          <w:sz w:val="28"/>
          <w:szCs w:val="28"/>
        </w:rPr>
        <w:t xml:space="preserve">конкурентной среды на рынках товаров, работ и услуг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C4D83">
        <w:rPr>
          <w:rFonts w:ascii="Times New Roman" w:hAnsi="Times New Roman"/>
          <w:sz w:val="28"/>
          <w:szCs w:val="28"/>
        </w:rPr>
        <w:t>Фурмановско</w:t>
      </w:r>
      <w:r>
        <w:rPr>
          <w:rFonts w:ascii="Times New Roman" w:hAnsi="Times New Roman"/>
          <w:sz w:val="28"/>
          <w:szCs w:val="28"/>
        </w:rPr>
        <w:t>м</w:t>
      </w:r>
      <w:r w:rsidRPr="003C4D8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C4D8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е.</w:t>
      </w:r>
    </w:p>
    <w:p w:rsidR="002E3791" w:rsidRDefault="002E3791" w:rsidP="00D55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5D9" w:rsidRDefault="002E3791" w:rsidP="002E3791">
      <w:pPr>
        <w:pStyle w:val="6"/>
        <w:shd w:val="clear" w:color="auto" w:fill="auto"/>
        <w:spacing w:after="0" w:line="240" w:lineRule="auto"/>
        <w:ind w:left="23" w:right="23" w:firstLine="69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</w:t>
      </w:r>
      <w:r w:rsidRPr="00346561">
        <w:rPr>
          <w:b/>
          <w:sz w:val="28"/>
          <w:szCs w:val="28"/>
        </w:rPr>
        <w:t>социально</w:t>
      </w:r>
      <w:r w:rsidR="00B70698">
        <w:rPr>
          <w:b/>
          <w:sz w:val="28"/>
          <w:szCs w:val="28"/>
        </w:rPr>
        <w:t>-экономического развития района</w:t>
      </w:r>
    </w:p>
    <w:p w:rsidR="00B70698" w:rsidRPr="002E3791" w:rsidRDefault="00B70698" w:rsidP="002E3791">
      <w:pPr>
        <w:pStyle w:val="6"/>
        <w:shd w:val="clear" w:color="auto" w:fill="auto"/>
        <w:spacing w:after="0" w:line="240" w:lineRule="auto"/>
        <w:ind w:left="23" w:right="23" w:firstLine="697"/>
        <w:contextualSpacing/>
        <w:rPr>
          <w:b/>
          <w:sz w:val="28"/>
          <w:szCs w:val="28"/>
        </w:rPr>
      </w:pPr>
    </w:p>
    <w:p w:rsidR="009A55D9" w:rsidRPr="00E53397" w:rsidRDefault="009A55D9" w:rsidP="007873C8">
      <w:pPr>
        <w:pStyle w:val="3"/>
        <w:ind w:left="0" w:firstLine="709"/>
        <w:rPr>
          <w:sz w:val="28"/>
        </w:rPr>
      </w:pPr>
      <w:r w:rsidRPr="00E53397">
        <w:rPr>
          <w:sz w:val="28"/>
        </w:rPr>
        <w:t xml:space="preserve">Фурмановский муниципальный район – муниципальное образование, входящее в состав </w:t>
      </w:r>
      <w:proofErr w:type="gramStart"/>
      <w:r w:rsidRPr="00E53397">
        <w:rPr>
          <w:sz w:val="28"/>
        </w:rPr>
        <w:t>Ивановской</w:t>
      </w:r>
      <w:proofErr w:type="gramEnd"/>
      <w:r w:rsidRPr="00E53397">
        <w:rPr>
          <w:sz w:val="28"/>
        </w:rPr>
        <w:t xml:space="preserve"> области.</w:t>
      </w:r>
    </w:p>
    <w:p w:rsidR="009A55D9" w:rsidRPr="00E53397" w:rsidRDefault="009A55D9" w:rsidP="007873C8">
      <w:pPr>
        <w:pStyle w:val="4"/>
        <w:ind w:firstLine="709"/>
      </w:pPr>
      <w:r w:rsidRPr="00E53397">
        <w:t xml:space="preserve">Территория –  </w:t>
      </w:r>
      <w:r>
        <w:t>763,2</w:t>
      </w:r>
      <w:r w:rsidRPr="00E53397">
        <w:t xml:space="preserve"> кв. км</w:t>
      </w:r>
      <w:r>
        <w:t>.</w:t>
      </w:r>
    </w:p>
    <w:p w:rsidR="00E61977" w:rsidRPr="00E61977" w:rsidRDefault="009A55D9" w:rsidP="00E61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096">
        <w:rPr>
          <w:rFonts w:ascii="Times New Roman" w:hAnsi="Times New Roman"/>
          <w:sz w:val="28"/>
          <w:szCs w:val="28"/>
        </w:rPr>
        <w:t xml:space="preserve">Город Фурманов находится в центральной части области и занимает удобное транспортно-географическое положение – на пересечении дорог: железной Ярославль – Иваново и автомобильной Иваново – Кострома. </w:t>
      </w:r>
      <w:r w:rsidR="00567096" w:rsidRPr="00567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населения </w:t>
      </w:r>
      <w:r w:rsidR="0090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="00567096" w:rsidRPr="00567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67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9F78B2" w:rsidRPr="009F7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</w:t>
      </w:r>
      <w:r w:rsidR="00E61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 w:rsidR="00567096" w:rsidRPr="009F7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E61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67096" w:rsidRPr="009F7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904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33 </w:t>
      </w:r>
      <w:r w:rsidR="00E619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416</w:t>
      </w:r>
      <w:r w:rsidR="00567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C068CA" w:rsidRPr="009A55D9" w:rsidRDefault="00C068CA" w:rsidP="00567096">
      <w:pPr>
        <w:pStyle w:val="ad"/>
        <w:spacing w:after="0"/>
        <w:jc w:val="both"/>
        <w:rPr>
          <w:sz w:val="28"/>
          <w:szCs w:val="28"/>
        </w:rPr>
      </w:pPr>
    </w:p>
    <w:p w:rsidR="00C068CA" w:rsidRPr="00DC4FF5" w:rsidRDefault="00C068CA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Промышленный комплекс</w:t>
      </w:r>
    </w:p>
    <w:p w:rsidR="00B70698" w:rsidRPr="00DC4FF5" w:rsidRDefault="00B70698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9A55D9" w:rsidRPr="00DC4FF5" w:rsidRDefault="009A55D9" w:rsidP="007873C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C4FF5">
        <w:rPr>
          <w:rFonts w:ascii="Times New Roman" w:eastAsia="Batang" w:hAnsi="Times New Roman"/>
          <w:sz w:val="28"/>
          <w:szCs w:val="28"/>
          <w:lang w:eastAsia="ko-KR"/>
        </w:rPr>
        <w:t>За 202</w:t>
      </w:r>
      <w:r w:rsidR="00E47703" w:rsidRPr="00DC4FF5">
        <w:rPr>
          <w:rFonts w:ascii="Times New Roman" w:eastAsia="Batang" w:hAnsi="Times New Roman"/>
          <w:sz w:val="28"/>
          <w:szCs w:val="28"/>
          <w:lang w:eastAsia="ko-KR"/>
        </w:rPr>
        <w:t>4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год объем отгруженных товаров собственного производства, выполненных работ и услуг составил </w:t>
      </w:r>
      <w:r w:rsidR="00E47703" w:rsidRPr="00DC4FF5">
        <w:rPr>
          <w:rFonts w:ascii="Times New Roman" w:eastAsia="Batang" w:hAnsi="Times New Roman"/>
          <w:sz w:val="28"/>
          <w:szCs w:val="28"/>
          <w:lang w:eastAsia="ko-KR"/>
        </w:rPr>
        <w:t>20 914,146</w:t>
      </w:r>
      <w:r w:rsidR="00EB1751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млн. рублей, 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что составляет </w:t>
      </w:r>
      <w:r w:rsidR="00E47703" w:rsidRPr="00DC4FF5">
        <w:rPr>
          <w:rFonts w:ascii="Times New Roman" w:eastAsia="Batang" w:hAnsi="Times New Roman"/>
          <w:sz w:val="28"/>
          <w:szCs w:val="28"/>
          <w:lang w:eastAsia="ko-KR"/>
        </w:rPr>
        <w:t>99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% к соответствующему периоду прошлого года. </w:t>
      </w:r>
    </w:p>
    <w:p w:rsidR="009A55D9" w:rsidRPr="00DC4FF5" w:rsidRDefault="009A55D9" w:rsidP="007873C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C4FF5">
        <w:rPr>
          <w:rFonts w:ascii="Times New Roman" w:eastAsia="Batang" w:hAnsi="Times New Roman"/>
          <w:sz w:val="28"/>
          <w:szCs w:val="28"/>
          <w:lang w:eastAsia="ko-KR"/>
        </w:rPr>
        <w:t>В структуре объема отгруженных товаров собственного производства, выполненных работ и услуг Фурмановского муниципального района  ведущее место занима</w:t>
      </w:r>
      <w:r w:rsidR="00E72E78" w:rsidRPr="00DC4FF5">
        <w:rPr>
          <w:rFonts w:ascii="Times New Roman" w:eastAsia="Batang" w:hAnsi="Times New Roman"/>
          <w:sz w:val="28"/>
          <w:szCs w:val="28"/>
          <w:lang w:eastAsia="ko-KR"/>
        </w:rPr>
        <w:t>ют обрабатывающие производства – 19</w:t>
      </w:r>
      <w:r w:rsidR="00E47703" w:rsidRPr="00DC4FF5">
        <w:rPr>
          <w:rFonts w:ascii="Times New Roman" w:eastAsia="Batang" w:hAnsi="Times New Roman"/>
          <w:sz w:val="28"/>
          <w:szCs w:val="28"/>
          <w:lang w:eastAsia="ko-KR"/>
        </w:rPr>
        <w:t> 457,806</w:t>
      </w:r>
      <w:r w:rsidR="00E72E78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млн. рублей, что составляет </w:t>
      </w:r>
      <w:r w:rsidR="00E47703" w:rsidRPr="00DC4FF5">
        <w:rPr>
          <w:rFonts w:ascii="Times New Roman" w:eastAsia="Batang" w:hAnsi="Times New Roman"/>
          <w:sz w:val="28"/>
          <w:szCs w:val="28"/>
          <w:lang w:eastAsia="ko-KR"/>
        </w:rPr>
        <w:t>99,9</w:t>
      </w:r>
      <w:r w:rsidR="00E72E78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% к соответствующему периоду прошлого года. </w:t>
      </w:r>
      <w:proofErr w:type="gramStart"/>
      <w:r w:rsidR="00A74D0F" w:rsidRPr="00DC4FF5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A74D0F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оизводство текстильных изделий 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составляет </w:t>
      </w:r>
      <w:r w:rsidR="00967661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4</w:t>
      </w:r>
      <w:r w:rsidR="00E47703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6</w:t>
      </w: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%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(наиболее крупные представители отрасли</w:t>
      </w:r>
      <w:r w:rsidR="00B70698" w:rsidRPr="00DC4FF5">
        <w:rPr>
          <w:rFonts w:ascii="Times New Roman" w:eastAsia="Batang" w:hAnsi="Times New Roman"/>
          <w:sz w:val="28"/>
          <w:szCs w:val="28"/>
          <w:lang w:eastAsia="ko-KR"/>
        </w:rPr>
        <w:t>:</w:t>
      </w:r>
      <w:proofErr w:type="gramEnd"/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gramStart"/>
      <w:r w:rsidRPr="00DC4FF5">
        <w:rPr>
          <w:rFonts w:ascii="Times New Roman" w:eastAsia="Batang" w:hAnsi="Times New Roman"/>
          <w:sz w:val="28"/>
          <w:szCs w:val="28"/>
          <w:lang w:eastAsia="ko-KR"/>
        </w:rPr>
        <w:t>ООО «Текстильная Компания «Русский Дом», ООО «Фурмановская фабрика №2», ПТФ №3 ОАО ХБК «Шуйские ситцы», ООО «МИРтекс»).</w:t>
      </w:r>
      <w:proofErr w:type="gramEnd"/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gramStart"/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Производство готовых металлических изделий, кроме машин и оборудования в структуре объема отгруженных товаров собственного производства, выполненных работ и услуг составляет </w:t>
      </w:r>
      <w:r w:rsidR="00F14EDC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2</w:t>
      </w:r>
      <w:r w:rsidR="00E47703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4</w:t>
      </w: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%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(представлен</w:t>
      </w:r>
      <w:r w:rsidR="00F14EDC" w:rsidRPr="00DC4FF5">
        <w:rPr>
          <w:rFonts w:ascii="Times New Roman" w:eastAsia="Batang" w:hAnsi="Times New Roman"/>
          <w:sz w:val="28"/>
          <w:szCs w:val="28"/>
          <w:lang w:eastAsia="ko-KR"/>
        </w:rPr>
        <w:t>о предприятием ООО «Билдэкс»); деятельность полиграфическая и копирование носителей информации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– </w:t>
      </w:r>
      <w:r w:rsidR="00E47703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21</w:t>
      </w: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%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, (представлена предприятием ООО «ЛиматонУпаковка»); добывающая промышленность – </w:t>
      </w:r>
      <w:r w:rsidR="009F78B2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3</w:t>
      </w: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%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(представлена предприятием ООО «Хромцовский карьер»); обеспечение электроэнергией газом и паром; 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lastRenderedPageBreak/>
        <w:t xml:space="preserve">кондиционирование воздуха – </w:t>
      </w:r>
      <w:r w:rsidR="00EB1751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3</w:t>
      </w: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%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, сельское хозяйство– </w:t>
      </w:r>
      <w:r w:rsidR="00EB1751" w:rsidRPr="00DC4FF5">
        <w:rPr>
          <w:rFonts w:ascii="Times New Roman" w:eastAsia="Batang" w:hAnsi="Times New Roman"/>
          <w:b/>
          <w:sz w:val="28"/>
          <w:szCs w:val="28"/>
          <w:lang w:eastAsia="ko-KR"/>
        </w:rPr>
        <w:t>3</w:t>
      </w:r>
      <w:r w:rsidRPr="00DC4FF5">
        <w:rPr>
          <w:rFonts w:ascii="Times New Roman" w:eastAsia="Batang" w:hAnsi="Times New Roman"/>
          <w:b/>
          <w:sz w:val="28"/>
          <w:szCs w:val="28"/>
          <w:lang w:eastAsia="ko-KR"/>
        </w:rPr>
        <w:t>%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(ООО «Славянка», ООО «МТС»).</w:t>
      </w:r>
      <w:proofErr w:type="gramEnd"/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В районе имеется также </w:t>
      </w:r>
      <w:proofErr w:type="spellStart"/>
      <w:r w:rsidRPr="00DC4FF5">
        <w:rPr>
          <w:rFonts w:ascii="Times New Roman" w:eastAsia="Batang" w:hAnsi="Times New Roman"/>
          <w:sz w:val="28"/>
          <w:szCs w:val="28"/>
          <w:lang w:eastAsia="ko-KR"/>
        </w:rPr>
        <w:t>хлебокомбинат</w:t>
      </w:r>
      <w:proofErr w:type="spellEnd"/>
      <w:r w:rsidRPr="00DC4FF5">
        <w:rPr>
          <w:rFonts w:ascii="Times New Roman" w:eastAsia="Batang" w:hAnsi="Times New Roman"/>
          <w:sz w:val="28"/>
          <w:szCs w:val="28"/>
          <w:lang w:eastAsia="ko-KR"/>
        </w:rPr>
        <w:t>, масложировой комбинат, кондитерский и мясоперерабатывающий цеха.</w:t>
      </w:r>
    </w:p>
    <w:p w:rsidR="00AA309E" w:rsidRPr="00644E52" w:rsidRDefault="00AA309E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4"/>
          <w:highlight w:val="yellow"/>
          <w:lang w:eastAsia="ko-KR"/>
        </w:rPr>
      </w:pPr>
    </w:p>
    <w:p w:rsidR="009A55D9" w:rsidRPr="00DC4FF5" w:rsidRDefault="00C068CA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4"/>
          <w:lang w:eastAsia="ko-KR"/>
        </w:rPr>
      </w:pPr>
      <w:r w:rsidRPr="00DC4FF5">
        <w:rPr>
          <w:rFonts w:ascii="Times New Roman" w:eastAsia="Batang" w:hAnsi="Times New Roman"/>
          <w:b/>
          <w:sz w:val="28"/>
          <w:szCs w:val="24"/>
          <w:lang w:eastAsia="ko-KR"/>
        </w:rPr>
        <w:t>Агропромышленный комплекс</w:t>
      </w:r>
    </w:p>
    <w:p w:rsidR="00B70698" w:rsidRPr="00DC4FF5" w:rsidRDefault="00B70698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4"/>
          <w:lang w:eastAsia="ko-KR"/>
        </w:rPr>
      </w:pPr>
    </w:p>
    <w:p w:rsidR="009A55D9" w:rsidRPr="00DC4FF5" w:rsidRDefault="009A55D9" w:rsidP="007873C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proofErr w:type="gramStart"/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В состав агропромышленного комплекса Фурмановского муниципального района входят 3 сельскохозяйственных предприятия </w:t>
      </w:r>
      <w:r w:rsidR="00EB1751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      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(ООО «Славянка»,  ООО «МТС», ООО «Середской комбикормовый завод»), </w:t>
      </w:r>
      <w:r w:rsidR="00CF7729" w:rsidRPr="00DC4FF5">
        <w:rPr>
          <w:rFonts w:ascii="Times New Roman" w:eastAsia="Batang" w:hAnsi="Times New Roman"/>
          <w:sz w:val="28"/>
          <w:szCs w:val="28"/>
          <w:lang w:eastAsia="ko-KR"/>
        </w:rPr>
        <w:t>7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крес</w:t>
      </w:r>
      <w:r w:rsidR="00CF7729" w:rsidRPr="00DC4FF5">
        <w:rPr>
          <w:rFonts w:ascii="Times New Roman" w:eastAsia="Batang" w:hAnsi="Times New Roman"/>
          <w:sz w:val="28"/>
          <w:szCs w:val="28"/>
          <w:lang w:eastAsia="ko-KR"/>
        </w:rPr>
        <w:t>тьянско-фермерских хозяйств (</w:t>
      </w:r>
      <w:r w:rsidR="00DC4FF5" w:rsidRPr="00DC4FF5">
        <w:rPr>
          <w:rFonts w:ascii="Times New Roman" w:eastAsia="Batang" w:hAnsi="Times New Roman"/>
          <w:sz w:val="28"/>
          <w:szCs w:val="28"/>
          <w:lang w:eastAsia="ko-KR"/>
        </w:rPr>
        <w:t>ИП Глава КФХ Пашаев М.М.О</w:t>
      </w:r>
      <w:r w:rsidR="00824323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., ИП Глава КФХ 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Рагимов Р.В.О., </w:t>
      </w:r>
      <w:r w:rsidR="00DC4FF5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ИП Глава КФХ 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Кочнев С.В., </w:t>
      </w:r>
      <w:r w:rsidR="00CF7729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ИП </w:t>
      </w:r>
      <w:proofErr w:type="spellStart"/>
      <w:r w:rsidR="00CF7729" w:rsidRPr="00DC4FF5">
        <w:rPr>
          <w:rFonts w:ascii="Times New Roman" w:eastAsia="Batang" w:hAnsi="Times New Roman"/>
          <w:sz w:val="28"/>
          <w:szCs w:val="28"/>
          <w:lang w:eastAsia="ko-KR"/>
        </w:rPr>
        <w:t>Мушарова</w:t>
      </w:r>
      <w:proofErr w:type="spellEnd"/>
      <w:r w:rsidR="00CF7729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М.А.</w:t>
      </w:r>
      <w:r w:rsidR="00824323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, ИП Глава КФХ </w:t>
      </w:r>
      <w:proofErr w:type="spellStart"/>
      <w:r w:rsidR="00824323" w:rsidRPr="00DC4FF5">
        <w:rPr>
          <w:rFonts w:ascii="Times New Roman" w:eastAsia="Batang" w:hAnsi="Times New Roman"/>
          <w:sz w:val="28"/>
          <w:szCs w:val="28"/>
          <w:lang w:eastAsia="ko-KR"/>
        </w:rPr>
        <w:t>Кухлевская</w:t>
      </w:r>
      <w:proofErr w:type="spellEnd"/>
      <w:r w:rsidR="00824323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Т.К.</w:t>
      </w:r>
      <w:r w:rsidR="00DC4FF5" w:rsidRPr="00DC4FF5">
        <w:rPr>
          <w:rFonts w:ascii="Times New Roman" w:eastAsia="Batang" w:hAnsi="Times New Roman"/>
          <w:sz w:val="28"/>
          <w:szCs w:val="28"/>
          <w:lang w:eastAsia="ko-KR"/>
        </w:rPr>
        <w:t>, ИП Глава КФХ Петухов А. Н., ИП Глава</w:t>
      </w:r>
      <w:proofErr w:type="gramEnd"/>
      <w:r w:rsidR="00DC4FF5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КФХ </w:t>
      </w:r>
      <w:proofErr w:type="spellStart"/>
      <w:r w:rsidR="00DC4FF5" w:rsidRPr="00DC4FF5">
        <w:rPr>
          <w:rFonts w:ascii="Times New Roman" w:eastAsia="Batang" w:hAnsi="Times New Roman"/>
          <w:sz w:val="28"/>
          <w:szCs w:val="28"/>
          <w:lang w:eastAsia="ko-KR"/>
        </w:rPr>
        <w:t>Матешук</w:t>
      </w:r>
      <w:proofErr w:type="spellEnd"/>
      <w:r w:rsidR="00DC4FF5"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 П. Н.</w:t>
      </w:r>
      <w:r w:rsidRPr="00DC4FF5">
        <w:rPr>
          <w:rFonts w:ascii="Times New Roman" w:eastAsia="Batang" w:hAnsi="Times New Roman"/>
          <w:sz w:val="28"/>
          <w:szCs w:val="28"/>
          <w:lang w:eastAsia="ko-KR"/>
        </w:rPr>
        <w:t xml:space="preserve">) и более 3 тыс. личных подсобных хозяйств. </w:t>
      </w:r>
    </w:p>
    <w:p w:rsidR="009A55D9" w:rsidRPr="00644E52" w:rsidRDefault="009A55D9" w:rsidP="007873C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highlight w:val="yellow"/>
          <w:lang w:eastAsia="ko-KR"/>
        </w:rPr>
      </w:pPr>
    </w:p>
    <w:p w:rsidR="002E3791" w:rsidRPr="00CF434F" w:rsidRDefault="00C068CA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CF434F">
        <w:rPr>
          <w:rFonts w:ascii="Times New Roman" w:eastAsia="Batang" w:hAnsi="Times New Roman"/>
          <w:b/>
          <w:sz w:val="28"/>
          <w:szCs w:val="28"/>
          <w:lang w:eastAsia="ko-KR"/>
        </w:rPr>
        <w:t>Потребительский рынок</w:t>
      </w:r>
    </w:p>
    <w:p w:rsidR="00B70698" w:rsidRPr="00CF434F" w:rsidRDefault="00B70698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Система потребительского рынка – одна из важнейших и наиболее развивающихся отраслей народного хозяйства, призванная стабильно и на высоком уровне обеспечивать жителей, предприятия и организации товарами и услугами.</w:t>
      </w:r>
    </w:p>
    <w:p w:rsidR="008C3BEE" w:rsidRPr="00CF434F" w:rsidRDefault="00CF434F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>
        <w:rPr>
          <w:rFonts w:ascii="Times New Roman" w:eastAsia="Batang" w:hAnsi="Times New Roman"/>
          <w:sz w:val="28"/>
          <w:szCs w:val="24"/>
          <w:lang w:eastAsia="ko-KR"/>
        </w:rPr>
        <w:t>По состоянию на 1 января 2025</w:t>
      </w:r>
      <w:r w:rsidR="008C3BEE"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 года торговая сеть Фурмановского муниципального района представлена: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- 4 торговыми центрами (100% к уровню 202</w:t>
      </w:r>
      <w:r w:rsidR="00466E64">
        <w:rPr>
          <w:rFonts w:ascii="Times New Roman" w:eastAsia="Batang" w:hAnsi="Times New Roman"/>
          <w:sz w:val="28"/>
          <w:szCs w:val="24"/>
          <w:lang w:eastAsia="ko-KR"/>
        </w:rPr>
        <w:t>3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>),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- 245 маг</w:t>
      </w:r>
      <w:r w:rsidR="00CF434F">
        <w:rPr>
          <w:rFonts w:ascii="Times New Roman" w:eastAsia="Batang" w:hAnsi="Times New Roman"/>
          <w:sz w:val="28"/>
          <w:szCs w:val="24"/>
          <w:lang w:eastAsia="ko-KR"/>
        </w:rPr>
        <w:t>азинами (100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>% к уровню 202</w:t>
      </w:r>
      <w:r w:rsidR="00466E64">
        <w:rPr>
          <w:rFonts w:ascii="Times New Roman" w:eastAsia="Batang" w:hAnsi="Times New Roman"/>
          <w:sz w:val="28"/>
          <w:szCs w:val="24"/>
          <w:lang w:eastAsia="ko-KR"/>
        </w:rPr>
        <w:t>3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>),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- 1 предприятием оптово-розничной торговли (100% к уровню 202</w:t>
      </w:r>
      <w:r w:rsidR="00466E64">
        <w:rPr>
          <w:rFonts w:ascii="Times New Roman" w:eastAsia="Batang" w:hAnsi="Times New Roman"/>
          <w:sz w:val="28"/>
          <w:szCs w:val="24"/>
          <w:lang w:eastAsia="ko-KR"/>
        </w:rPr>
        <w:t>3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>),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466E64">
        <w:rPr>
          <w:rFonts w:ascii="Times New Roman" w:eastAsia="Batang" w:hAnsi="Times New Roman"/>
          <w:sz w:val="28"/>
          <w:szCs w:val="24"/>
          <w:lang w:eastAsia="ko-KR"/>
        </w:rPr>
        <w:t xml:space="preserve">- </w:t>
      </w:r>
      <w:r w:rsidR="00466E64" w:rsidRPr="00466E64">
        <w:rPr>
          <w:rFonts w:ascii="Times New Roman" w:eastAsia="Batang" w:hAnsi="Times New Roman"/>
          <w:sz w:val="28"/>
          <w:szCs w:val="24"/>
          <w:lang w:eastAsia="ko-KR"/>
        </w:rPr>
        <w:t>35</w:t>
      </w:r>
      <w:r w:rsidRPr="00466E64">
        <w:rPr>
          <w:rFonts w:ascii="Times New Roman" w:eastAsia="Batang" w:hAnsi="Times New Roman"/>
          <w:sz w:val="28"/>
          <w:szCs w:val="24"/>
          <w:lang w:eastAsia="ko-KR"/>
        </w:rPr>
        <w:t xml:space="preserve"> предприятиями общественного питания (</w:t>
      </w:r>
      <w:r w:rsidR="00466E64" w:rsidRPr="00466E64">
        <w:rPr>
          <w:rFonts w:ascii="Times New Roman" w:eastAsia="Batang" w:hAnsi="Times New Roman"/>
          <w:sz w:val="28"/>
          <w:szCs w:val="24"/>
          <w:lang w:eastAsia="ko-KR"/>
        </w:rPr>
        <w:t>109</w:t>
      </w:r>
      <w:r w:rsidRPr="00466E64">
        <w:rPr>
          <w:rFonts w:ascii="Times New Roman" w:eastAsia="Batang" w:hAnsi="Times New Roman"/>
          <w:sz w:val="28"/>
          <w:szCs w:val="24"/>
          <w:lang w:eastAsia="ko-KR"/>
        </w:rPr>
        <w:t>% к уровню 202</w:t>
      </w:r>
      <w:r w:rsidR="00466E64" w:rsidRPr="00466E64">
        <w:rPr>
          <w:rFonts w:ascii="Times New Roman" w:eastAsia="Batang" w:hAnsi="Times New Roman"/>
          <w:sz w:val="28"/>
          <w:szCs w:val="24"/>
          <w:lang w:eastAsia="ko-KR"/>
        </w:rPr>
        <w:t>3</w:t>
      </w:r>
      <w:r w:rsidRPr="00466E64">
        <w:rPr>
          <w:rFonts w:ascii="Times New Roman" w:eastAsia="Batang" w:hAnsi="Times New Roman"/>
          <w:sz w:val="28"/>
          <w:szCs w:val="24"/>
          <w:lang w:eastAsia="ko-KR"/>
        </w:rPr>
        <w:t>) на 22</w:t>
      </w:r>
      <w:r w:rsidR="00466E64" w:rsidRPr="00466E64">
        <w:rPr>
          <w:rFonts w:ascii="Times New Roman" w:eastAsia="Batang" w:hAnsi="Times New Roman"/>
          <w:sz w:val="28"/>
          <w:szCs w:val="24"/>
          <w:lang w:eastAsia="ko-KR"/>
        </w:rPr>
        <w:t>47</w:t>
      </w:r>
      <w:r w:rsidRPr="00466E64">
        <w:rPr>
          <w:rFonts w:ascii="Times New Roman" w:eastAsia="Batang" w:hAnsi="Times New Roman"/>
          <w:sz w:val="28"/>
          <w:szCs w:val="24"/>
          <w:lang w:eastAsia="ko-KR"/>
        </w:rPr>
        <w:t xml:space="preserve"> посадочных мест (</w:t>
      </w:r>
      <w:r w:rsidR="00466E64" w:rsidRPr="00466E64">
        <w:rPr>
          <w:rFonts w:ascii="Times New Roman" w:eastAsia="Batang" w:hAnsi="Times New Roman"/>
          <w:sz w:val="28"/>
          <w:szCs w:val="24"/>
          <w:lang w:eastAsia="ko-KR"/>
        </w:rPr>
        <w:t>102</w:t>
      </w:r>
      <w:r w:rsidRPr="00466E64">
        <w:rPr>
          <w:rFonts w:ascii="Times New Roman" w:eastAsia="Batang" w:hAnsi="Times New Roman"/>
          <w:sz w:val="28"/>
          <w:szCs w:val="24"/>
          <w:lang w:eastAsia="ko-KR"/>
        </w:rPr>
        <w:t>% к уровню 2023),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- 90 предприятиями бытового обслуживания (100,0% к уровню 202</w:t>
      </w:r>
      <w:r w:rsidR="00466E64">
        <w:rPr>
          <w:rFonts w:ascii="Times New Roman" w:eastAsia="Batang" w:hAnsi="Times New Roman"/>
          <w:sz w:val="28"/>
          <w:szCs w:val="24"/>
          <w:lang w:eastAsia="ko-KR"/>
        </w:rPr>
        <w:t>3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>).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На территории Фурмановского муниципального района функционируют две ярмарки.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>Бытовые услуги населению оказывают 90 предприятия. Более 95% предприятий службы быта сосредоточены в городе.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Населению муниципального района оказываются следующие бытовые услуги: пошив и ремонт одежды, ремонт обуви, ремонт и техническое обслуживание </w:t>
      </w:r>
      <w:proofErr w:type="gramStart"/>
      <w:r w:rsidRPr="00CF434F">
        <w:rPr>
          <w:rFonts w:ascii="Times New Roman" w:eastAsia="Batang" w:hAnsi="Times New Roman"/>
          <w:sz w:val="28"/>
          <w:szCs w:val="24"/>
          <w:lang w:eastAsia="ko-KR"/>
        </w:rPr>
        <w:t>теле-радио аппаратуры</w:t>
      </w:r>
      <w:proofErr w:type="gramEnd"/>
      <w:r w:rsidRPr="00CF434F">
        <w:rPr>
          <w:rFonts w:ascii="Times New Roman" w:eastAsia="Batang" w:hAnsi="Times New Roman"/>
          <w:sz w:val="28"/>
          <w:szCs w:val="24"/>
          <w:lang w:eastAsia="ko-KR"/>
        </w:rPr>
        <w:t>, ремонт и техническое обслуживание сложнобытовой техники, парикмахерские услуги, фото услуги, ремонт часов, ритуальные услуги, услуги бань, саун, ремонт и строительство жилья, услуги по замене дверей и окон и другие.</w:t>
      </w:r>
    </w:p>
    <w:p w:rsidR="008C3BEE" w:rsidRPr="0075403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75403F">
        <w:rPr>
          <w:rFonts w:ascii="Times New Roman" w:eastAsia="Batang" w:hAnsi="Times New Roman"/>
          <w:sz w:val="28"/>
          <w:szCs w:val="24"/>
          <w:lang w:eastAsia="ko-KR"/>
        </w:rPr>
        <w:t>Финансовые организации (включая филиалы): 7 банков – филиал Ивановского ОСБ №8639 Сбербанка России, филиал «Вознесенский» АКБ «</w:t>
      </w:r>
      <w:proofErr w:type="spellStart"/>
      <w:r w:rsidRPr="0075403F">
        <w:rPr>
          <w:rFonts w:ascii="Times New Roman" w:eastAsia="Batang" w:hAnsi="Times New Roman"/>
          <w:sz w:val="28"/>
          <w:szCs w:val="24"/>
          <w:lang w:eastAsia="ko-KR"/>
        </w:rPr>
        <w:t>Инвестторгбанк</w:t>
      </w:r>
      <w:proofErr w:type="spellEnd"/>
      <w:r w:rsidRPr="0075403F">
        <w:rPr>
          <w:rFonts w:ascii="Times New Roman" w:eastAsia="Batang" w:hAnsi="Times New Roman"/>
          <w:sz w:val="28"/>
          <w:szCs w:val="24"/>
          <w:lang w:eastAsia="ko-KR"/>
        </w:rPr>
        <w:t>», Ивановский филиал ООО ИКБ «</w:t>
      </w:r>
      <w:proofErr w:type="spellStart"/>
      <w:r w:rsidRPr="0075403F">
        <w:rPr>
          <w:rFonts w:ascii="Times New Roman" w:eastAsia="Batang" w:hAnsi="Times New Roman"/>
          <w:sz w:val="28"/>
          <w:szCs w:val="24"/>
          <w:lang w:eastAsia="ko-KR"/>
        </w:rPr>
        <w:t>Совкомбанк</w:t>
      </w:r>
      <w:proofErr w:type="spellEnd"/>
      <w:r w:rsidRPr="0075403F">
        <w:rPr>
          <w:rFonts w:ascii="Times New Roman" w:eastAsia="Batang" w:hAnsi="Times New Roman"/>
          <w:sz w:val="28"/>
          <w:szCs w:val="24"/>
          <w:lang w:eastAsia="ko-KR"/>
        </w:rPr>
        <w:t>», Ивановский региональный филиал ОАО «</w:t>
      </w:r>
      <w:proofErr w:type="spellStart"/>
      <w:r w:rsidRPr="0075403F">
        <w:rPr>
          <w:rFonts w:ascii="Times New Roman" w:eastAsia="Batang" w:hAnsi="Times New Roman"/>
          <w:sz w:val="28"/>
          <w:szCs w:val="24"/>
          <w:lang w:eastAsia="ko-KR"/>
        </w:rPr>
        <w:t>Россельхозбанк</w:t>
      </w:r>
      <w:proofErr w:type="spellEnd"/>
      <w:r w:rsidRPr="0075403F">
        <w:rPr>
          <w:rFonts w:ascii="Times New Roman" w:eastAsia="Batang" w:hAnsi="Times New Roman"/>
          <w:sz w:val="28"/>
          <w:szCs w:val="24"/>
          <w:lang w:eastAsia="ko-KR"/>
        </w:rPr>
        <w:t xml:space="preserve">», АО </w:t>
      </w:r>
      <w:proofErr w:type="gramStart"/>
      <w:r w:rsidRPr="0075403F">
        <w:rPr>
          <w:rFonts w:ascii="Times New Roman" w:eastAsia="Batang" w:hAnsi="Times New Roman"/>
          <w:sz w:val="28"/>
          <w:szCs w:val="24"/>
          <w:lang w:eastAsia="ko-KR"/>
        </w:rPr>
        <w:t>КИБ</w:t>
      </w:r>
      <w:proofErr w:type="gramEnd"/>
      <w:r w:rsidRPr="0075403F">
        <w:rPr>
          <w:rFonts w:ascii="Times New Roman" w:eastAsia="Batang" w:hAnsi="Times New Roman"/>
          <w:sz w:val="28"/>
          <w:szCs w:val="24"/>
          <w:lang w:eastAsia="ko-KR"/>
        </w:rPr>
        <w:t xml:space="preserve"> «</w:t>
      </w:r>
      <w:proofErr w:type="spellStart"/>
      <w:r w:rsidRPr="0075403F">
        <w:rPr>
          <w:rFonts w:ascii="Times New Roman" w:eastAsia="Batang" w:hAnsi="Times New Roman"/>
          <w:sz w:val="28"/>
          <w:szCs w:val="24"/>
          <w:lang w:eastAsia="ko-KR"/>
        </w:rPr>
        <w:t>Евроальянс</w:t>
      </w:r>
      <w:proofErr w:type="spellEnd"/>
      <w:r w:rsidRPr="0075403F">
        <w:rPr>
          <w:rFonts w:ascii="Times New Roman" w:eastAsia="Batang" w:hAnsi="Times New Roman"/>
          <w:sz w:val="28"/>
          <w:szCs w:val="24"/>
          <w:lang w:eastAsia="ko-KR"/>
        </w:rPr>
        <w:t xml:space="preserve">», филиал банка «ВТБ», филиал «Почта Банк» и 8 </w:t>
      </w:r>
      <w:proofErr w:type="spellStart"/>
      <w:r w:rsidRPr="0075403F">
        <w:rPr>
          <w:rFonts w:ascii="Times New Roman" w:eastAsia="Batang" w:hAnsi="Times New Roman"/>
          <w:sz w:val="28"/>
          <w:szCs w:val="24"/>
          <w:lang w:eastAsia="ko-KR"/>
        </w:rPr>
        <w:t>микрофинансовых</w:t>
      </w:r>
      <w:proofErr w:type="spellEnd"/>
      <w:r w:rsidRPr="0075403F">
        <w:rPr>
          <w:rFonts w:ascii="Times New Roman" w:eastAsia="Batang" w:hAnsi="Times New Roman"/>
          <w:sz w:val="28"/>
          <w:szCs w:val="24"/>
          <w:lang w:eastAsia="ko-KR"/>
        </w:rPr>
        <w:t xml:space="preserve"> организаций.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75403F">
        <w:rPr>
          <w:rFonts w:ascii="Times New Roman" w:eastAsia="Batang" w:hAnsi="Times New Roman"/>
          <w:sz w:val="28"/>
          <w:szCs w:val="24"/>
          <w:lang w:eastAsia="ko-KR"/>
        </w:rPr>
        <w:t>Страховые компании: 3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 компании – филиал ООО «Росгосстрах», АО Страховая компания «СОГАЗ-Мед», САО «РЕСО-Гарантия».</w:t>
      </w:r>
    </w:p>
    <w:p w:rsidR="008C3BEE" w:rsidRPr="00CF434F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r w:rsidRPr="00CF434F">
        <w:rPr>
          <w:rFonts w:ascii="Times New Roman" w:eastAsia="Batang" w:hAnsi="Times New Roman"/>
          <w:sz w:val="28"/>
          <w:szCs w:val="24"/>
          <w:lang w:eastAsia="ko-KR"/>
        </w:rPr>
        <w:lastRenderedPageBreak/>
        <w:t>Рынок услуг связи и интернет на территории Ивановской области представлен следующими крупными операторами связи: ПАО «Ростелеком», ПАО «МТС», ПАО «Мегафон», ПАО «</w:t>
      </w:r>
      <w:proofErr w:type="spellStart"/>
      <w:r w:rsidRPr="00CF434F">
        <w:rPr>
          <w:rFonts w:ascii="Times New Roman" w:eastAsia="Batang" w:hAnsi="Times New Roman"/>
          <w:sz w:val="28"/>
          <w:szCs w:val="24"/>
          <w:lang w:eastAsia="ko-KR"/>
        </w:rPr>
        <w:t>Вымпелком</w:t>
      </w:r>
      <w:proofErr w:type="spellEnd"/>
      <w:r w:rsidRPr="00CF434F">
        <w:rPr>
          <w:rFonts w:ascii="Times New Roman" w:eastAsia="Batang" w:hAnsi="Times New Roman"/>
          <w:sz w:val="28"/>
          <w:szCs w:val="24"/>
          <w:lang w:eastAsia="ko-KR"/>
        </w:rPr>
        <w:t>», ООО «Т</w:t>
      </w:r>
      <w:proofErr w:type="gramStart"/>
      <w:r w:rsidRPr="00CF434F">
        <w:rPr>
          <w:rFonts w:ascii="Times New Roman" w:eastAsia="Batang" w:hAnsi="Times New Roman"/>
          <w:sz w:val="28"/>
          <w:szCs w:val="24"/>
          <w:lang w:eastAsia="ko-KR"/>
        </w:rPr>
        <w:t>2</w:t>
      </w:r>
      <w:proofErr w:type="gramEnd"/>
      <w:r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 </w:t>
      </w:r>
      <w:proofErr w:type="spellStart"/>
      <w:r w:rsidRPr="00CF434F">
        <w:rPr>
          <w:rFonts w:ascii="Times New Roman" w:eastAsia="Batang" w:hAnsi="Times New Roman"/>
          <w:sz w:val="28"/>
          <w:szCs w:val="24"/>
          <w:lang w:eastAsia="ko-KR"/>
        </w:rPr>
        <w:t>Мобайл</w:t>
      </w:r>
      <w:proofErr w:type="spellEnd"/>
      <w:r w:rsidRPr="00CF434F">
        <w:rPr>
          <w:rFonts w:ascii="Times New Roman" w:eastAsia="Batang" w:hAnsi="Times New Roman"/>
          <w:sz w:val="28"/>
          <w:szCs w:val="24"/>
          <w:lang w:eastAsia="ko-KR"/>
        </w:rPr>
        <w:t>».</w:t>
      </w:r>
    </w:p>
    <w:p w:rsidR="00A34B21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  <w:proofErr w:type="gramStart"/>
      <w:r w:rsidRPr="00CF434F">
        <w:rPr>
          <w:rFonts w:ascii="Times New Roman" w:eastAsia="Batang" w:hAnsi="Times New Roman"/>
          <w:sz w:val="28"/>
          <w:szCs w:val="24"/>
          <w:lang w:eastAsia="ko-KR"/>
        </w:rPr>
        <w:t>На территории Ивановской области реализуется региональный проект «Информационная инфраструктура» национального проекта «Цифровая экономика Российской Федерации», целью которого является устранение цифрового неравенства и подключение к сети Интернет социально значимых объектов.</w:t>
      </w:r>
      <w:proofErr w:type="gramEnd"/>
      <w:r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 В 2021 году Министерство цифрового развития, связи и массовых коммуникаций Российской Федерации и ПАО «Ростелеком» подписали дополнительное соглашение об условиях оказания универсальных услуг связи. ПАО «Ростелеком» реализ</w:t>
      </w:r>
      <w:r w:rsidR="00340124">
        <w:rPr>
          <w:rFonts w:ascii="Times New Roman" w:eastAsia="Batang" w:hAnsi="Times New Roman"/>
          <w:sz w:val="28"/>
          <w:szCs w:val="24"/>
          <w:lang w:eastAsia="ko-KR"/>
        </w:rPr>
        <w:t>ует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 второ</w:t>
      </w:r>
      <w:r w:rsidR="00340124">
        <w:rPr>
          <w:rFonts w:ascii="Times New Roman" w:eastAsia="Batang" w:hAnsi="Times New Roman"/>
          <w:sz w:val="28"/>
          <w:szCs w:val="24"/>
          <w:lang w:eastAsia="ko-KR"/>
        </w:rPr>
        <w:t>й этап</w:t>
      </w:r>
      <w:r w:rsidRPr="00CF434F">
        <w:rPr>
          <w:rFonts w:ascii="Times New Roman" w:eastAsia="Batang" w:hAnsi="Times New Roman"/>
          <w:sz w:val="28"/>
          <w:szCs w:val="24"/>
          <w:lang w:eastAsia="ko-KR"/>
        </w:rPr>
        <w:t xml:space="preserve"> проекта «Устранение цифрового неравенства» (УЦН 2.0), который включает организацию сетей мобильной связи в малых населенных пунктах (от 100 до 500 человек).</w:t>
      </w:r>
    </w:p>
    <w:p w:rsidR="008C3BEE" w:rsidRDefault="008C3BEE" w:rsidP="008C3BE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ko-KR"/>
        </w:rPr>
      </w:pPr>
    </w:p>
    <w:p w:rsidR="00A34B21" w:rsidRDefault="00A34B21" w:rsidP="007873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60D1">
        <w:rPr>
          <w:rFonts w:ascii="Times New Roman" w:hAnsi="Times New Roman"/>
          <w:b/>
          <w:sz w:val="28"/>
          <w:szCs w:val="28"/>
        </w:rPr>
        <w:t>Жилищно-коммунальное хозяйство и дорожная инфраструктура</w:t>
      </w:r>
    </w:p>
    <w:p w:rsidR="00B70698" w:rsidRPr="00A34B21" w:rsidRDefault="00B70698" w:rsidP="007873C8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8"/>
          <w:szCs w:val="24"/>
          <w:lang w:eastAsia="ko-KR"/>
        </w:rPr>
      </w:pPr>
    </w:p>
    <w:p w:rsidR="00A34B21" w:rsidRDefault="00A34B21" w:rsidP="007873C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365F91" w:themeColor="accent1" w:themeShade="BF"/>
          <w:sz w:val="28"/>
          <w:szCs w:val="24"/>
        </w:rPr>
      </w:pPr>
      <w:proofErr w:type="gramStart"/>
      <w:r w:rsidRPr="00A34B21">
        <w:rPr>
          <w:rFonts w:ascii="Times New Roman" w:eastAsiaTheme="minorHAnsi" w:hAnsi="Times New Roman"/>
          <w:sz w:val="28"/>
          <w:szCs w:val="24"/>
        </w:rPr>
        <w:t>По состоянию на 01.01.202</w:t>
      </w:r>
      <w:r w:rsidR="00CF434F">
        <w:rPr>
          <w:rFonts w:ascii="Times New Roman" w:eastAsiaTheme="minorHAnsi" w:hAnsi="Times New Roman"/>
          <w:sz w:val="28"/>
          <w:szCs w:val="24"/>
        </w:rPr>
        <w:t>5</w:t>
      </w:r>
      <w:r w:rsidRPr="00A34B21">
        <w:rPr>
          <w:rFonts w:ascii="Times New Roman" w:eastAsiaTheme="minorHAnsi" w:hAnsi="Times New Roman"/>
          <w:sz w:val="28"/>
          <w:szCs w:val="24"/>
        </w:rPr>
        <w:t xml:space="preserve"> на территории Фурмановского муниципального района регулируемую деятельность по производству тепловой энергии осуществляют 5 организаций, в том числе </w:t>
      </w:r>
      <w:r w:rsidR="005F70AA">
        <w:rPr>
          <w:rFonts w:ascii="Times New Roman" w:eastAsiaTheme="minorHAnsi" w:hAnsi="Times New Roman"/>
          <w:sz w:val="28"/>
          <w:szCs w:val="24"/>
        </w:rPr>
        <w:t>2</w:t>
      </w:r>
      <w:r w:rsidR="005F70AA" w:rsidRPr="00A34B21">
        <w:rPr>
          <w:rFonts w:ascii="Times New Roman" w:eastAsiaTheme="minorHAnsi" w:hAnsi="Times New Roman"/>
          <w:sz w:val="28"/>
          <w:szCs w:val="24"/>
        </w:rPr>
        <w:t xml:space="preserve"> организации </w:t>
      </w:r>
      <w:r w:rsidRPr="00A34B21">
        <w:rPr>
          <w:rFonts w:ascii="Times New Roman" w:eastAsiaTheme="minorHAnsi" w:hAnsi="Times New Roman"/>
          <w:sz w:val="28"/>
          <w:szCs w:val="24"/>
        </w:rPr>
        <w:t xml:space="preserve">с использованием частного имущества (теплоснабжающие организации совокупная доля участия в которых РФ, субъекта РФ, муниципального образования отсутствует или не более 50%), </w:t>
      </w:r>
      <w:r w:rsidR="005F70AA">
        <w:rPr>
          <w:rFonts w:ascii="Times New Roman" w:eastAsiaTheme="minorHAnsi" w:hAnsi="Times New Roman"/>
          <w:sz w:val="28"/>
          <w:szCs w:val="24"/>
        </w:rPr>
        <w:t>3</w:t>
      </w:r>
      <w:r w:rsidR="005F70AA" w:rsidRPr="00A34B21">
        <w:rPr>
          <w:rFonts w:ascii="Times New Roman" w:eastAsiaTheme="minorHAnsi" w:hAnsi="Times New Roman"/>
          <w:sz w:val="28"/>
          <w:szCs w:val="24"/>
        </w:rPr>
        <w:t xml:space="preserve"> организации </w:t>
      </w:r>
      <w:r w:rsidRPr="00A34B21">
        <w:rPr>
          <w:rFonts w:ascii="Times New Roman" w:eastAsiaTheme="minorHAnsi" w:hAnsi="Times New Roman"/>
          <w:sz w:val="28"/>
          <w:szCs w:val="24"/>
        </w:rPr>
        <w:t>с использованием муниципального</w:t>
      </w:r>
      <w:r w:rsidR="004560D1">
        <w:rPr>
          <w:rFonts w:ascii="Times New Roman" w:eastAsiaTheme="minorHAnsi" w:hAnsi="Times New Roman"/>
          <w:sz w:val="28"/>
          <w:szCs w:val="24"/>
        </w:rPr>
        <w:t xml:space="preserve"> и государственного</w:t>
      </w:r>
      <w:r w:rsidRPr="00A34B21">
        <w:rPr>
          <w:rFonts w:ascii="Times New Roman" w:eastAsiaTheme="minorHAnsi" w:hAnsi="Times New Roman"/>
          <w:sz w:val="28"/>
          <w:szCs w:val="24"/>
        </w:rPr>
        <w:t xml:space="preserve"> имущества.</w:t>
      </w:r>
      <w:proofErr w:type="gramEnd"/>
    </w:p>
    <w:p w:rsidR="00A34B21" w:rsidRPr="00A34B21" w:rsidRDefault="00A34B21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34B21">
        <w:rPr>
          <w:rFonts w:ascii="Times New Roman" w:hAnsi="Times New Roman"/>
          <w:sz w:val="28"/>
          <w:szCs w:val="24"/>
        </w:rPr>
        <w:t>С 01.07.2017 на территории Фурмановского муниципального района деятельность по обращению с отходами осуществляет Региональный оператор, который наделен соответствующим статусом по результатам конкурсного отбора.</w:t>
      </w:r>
    </w:p>
    <w:p w:rsidR="00A34B21" w:rsidRPr="00C068CA" w:rsidRDefault="00A34B21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0154C">
        <w:rPr>
          <w:rFonts w:ascii="Times New Roman" w:hAnsi="Times New Roman"/>
          <w:sz w:val="28"/>
          <w:szCs w:val="24"/>
        </w:rPr>
        <w:t>В районе числится порядка 1</w:t>
      </w:r>
      <w:r w:rsidR="0000154C" w:rsidRPr="0000154C">
        <w:rPr>
          <w:rFonts w:ascii="Times New Roman" w:hAnsi="Times New Roman"/>
          <w:sz w:val="28"/>
          <w:szCs w:val="24"/>
        </w:rPr>
        <w:t>43</w:t>
      </w:r>
      <w:r w:rsidRPr="0000154C">
        <w:rPr>
          <w:rFonts w:ascii="Times New Roman" w:hAnsi="Times New Roman"/>
          <w:sz w:val="28"/>
          <w:szCs w:val="24"/>
        </w:rPr>
        <w:t xml:space="preserve"> контейнерных площадок. Всего в Фурмановском районе на существующих контейнерных площадках расположено порядка </w:t>
      </w:r>
      <w:r w:rsidR="0000154C" w:rsidRPr="0000154C">
        <w:rPr>
          <w:rFonts w:ascii="Times New Roman" w:hAnsi="Times New Roman"/>
          <w:sz w:val="28"/>
          <w:szCs w:val="24"/>
        </w:rPr>
        <w:t>615</w:t>
      </w:r>
      <w:r w:rsidRPr="0000154C">
        <w:rPr>
          <w:rFonts w:ascii="Times New Roman" w:hAnsi="Times New Roman"/>
          <w:sz w:val="28"/>
          <w:szCs w:val="24"/>
        </w:rPr>
        <w:t xml:space="preserve"> контейнера.</w:t>
      </w:r>
      <w:r w:rsidRPr="00A34B21">
        <w:rPr>
          <w:rFonts w:ascii="Times New Roman" w:hAnsi="Times New Roman"/>
          <w:sz w:val="28"/>
          <w:szCs w:val="24"/>
        </w:rPr>
        <w:t xml:space="preserve">  Маршруты и графики движения по согласованы с администрацией Фурмановского муниципального района. Там, где нет контейнерных площадок, организован </w:t>
      </w:r>
      <w:proofErr w:type="spellStart"/>
      <w:r w:rsidRPr="00A34B21">
        <w:rPr>
          <w:rFonts w:ascii="Times New Roman" w:hAnsi="Times New Roman"/>
          <w:sz w:val="28"/>
          <w:szCs w:val="24"/>
        </w:rPr>
        <w:t>бесконтейнерный</w:t>
      </w:r>
      <w:proofErr w:type="spellEnd"/>
      <w:r w:rsidRPr="00A34B21">
        <w:rPr>
          <w:rFonts w:ascii="Times New Roman" w:hAnsi="Times New Roman"/>
          <w:sz w:val="28"/>
          <w:szCs w:val="24"/>
        </w:rPr>
        <w:t xml:space="preserve"> вывоз. Пакеты для ТКО выдаются жителям.</w:t>
      </w:r>
    </w:p>
    <w:p w:rsidR="00794098" w:rsidRPr="00794098" w:rsidRDefault="00794098" w:rsidP="007940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94098">
        <w:rPr>
          <w:rFonts w:ascii="Times New Roman" w:hAnsi="Times New Roman"/>
          <w:sz w:val="28"/>
        </w:rPr>
        <w:t xml:space="preserve">По территории Фурмановского муниципального района проходят дороги общего пользования общей протяженностью 454,93 км., из них: </w:t>
      </w:r>
      <w:r w:rsidR="006E2475" w:rsidRPr="00794098">
        <w:rPr>
          <w:rFonts w:ascii="Times New Roman" w:hAnsi="Times New Roman"/>
          <w:sz w:val="28"/>
        </w:rPr>
        <w:t>21,2 км</w:t>
      </w:r>
      <w:proofErr w:type="gramStart"/>
      <w:r w:rsidR="006E2475" w:rsidRPr="00794098">
        <w:rPr>
          <w:rFonts w:ascii="Times New Roman" w:hAnsi="Times New Roman"/>
          <w:sz w:val="28"/>
        </w:rPr>
        <w:t>.</w:t>
      </w:r>
      <w:proofErr w:type="gramEnd"/>
      <w:r w:rsidR="006E2475" w:rsidRPr="006E2475">
        <w:rPr>
          <w:rFonts w:ascii="Times New Roman" w:hAnsi="Times New Roman"/>
          <w:sz w:val="28"/>
        </w:rPr>
        <w:t xml:space="preserve"> </w:t>
      </w:r>
      <w:proofErr w:type="gramStart"/>
      <w:r w:rsidR="006E2475" w:rsidRPr="00794098">
        <w:rPr>
          <w:rFonts w:ascii="Times New Roman" w:hAnsi="Times New Roman"/>
          <w:sz w:val="28"/>
        </w:rPr>
        <w:t>д</w:t>
      </w:r>
      <w:proofErr w:type="gramEnd"/>
      <w:r w:rsidR="006E2475" w:rsidRPr="00794098">
        <w:rPr>
          <w:rFonts w:ascii="Times New Roman" w:hAnsi="Times New Roman"/>
          <w:sz w:val="28"/>
        </w:rPr>
        <w:t xml:space="preserve">орог </w:t>
      </w:r>
      <w:r w:rsidR="006E2475">
        <w:rPr>
          <w:rFonts w:ascii="Times New Roman" w:hAnsi="Times New Roman"/>
          <w:sz w:val="28"/>
        </w:rPr>
        <w:t>федерального значения, 134,226 км. областных дорог,</w:t>
      </w:r>
      <w:r w:rsidRPr="00794098">
        <w:rPr>
          <w:rFonts w:ascii="Times New Roman" w:hAnsi="Times New Roman"/>
          <w:sz w:val="28"/>
        </w:rPr>
        <w:t xml:space="preserve"> </w:t>
      </w:r>
      <w:r w:rsidR="006E2475" w:rsidRPr="00794098">
        <w:rPr>
          <w:rFonts w:ascii="Times New Roman" w:hAnsi="Times New Roman"/>
          <w:sz w:val="28"/>
        </w:rPr>
        <w:t>299,5 км</w:t>
      </w:r>
      <w:r w:rsidR="006E2475">
        <w:rPr>
          <w:rFonts w:ascii="Times New Roman" w:hAnsi="Times New Roman"/>
          <w:sz w:val="28"/>
        </w:rPr>
        <w:t>.</w:t>
      </w:r>
      <w:r w:rsidR="006E2475" w:rsidRPr="00794098">
        <w:rPr>
          <w:rFonts w:ascii="Times New Roman" w:hAnsi="Times New Roman"/>
          <w:sz w:val="28"/>
        </w:rPr>
        <w:t xml:space="preserve"> </w:t>
      </w:r>
      <w:r w:rsidRPr="00794098">
        <w:rPr>
          <w:rFonts w:ascii="Times New Roman" w:hAnsi="Times New Roman"/>
          <w:sz w:val="28"/>
        </w:rPr>
        <w:t>дорог местного значения</w:t>
      </w:r>
      <w:r w:rsidR="006E2475">
        <w:rPr>
          <w:rFonts w:ascii="Times New Roman" w:hAnsi="Times New Roman"/>
          <w:sz w:val="28"/>
        </w:rPr>
        <w:t>.</w:t>
      </w:r>
    </w:p>
    <w:p w:rsidR="00A34B21" w:rsidRDefault="00A34B21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5698">
        <w:rPr>
          <w:rFonts w:ascii="Times New Roman" w:hAnsi="Times New Roman"/>
          <w:sz w:val="28"/>
        </w:rPr>
        <w:t xml:space="preserve">На территории </w:t>
      </w:r>
      <w:r w:rsidR="00962B8F" w:rsidRPr="00A34B21">
        <w:rPr>
          <w:rFonts w:ascii="Times New Roman" w:hAnsi="Times New Roman"/>
          <w:sz w:val="28"/>
          <w:szCs w:val="24"/>
        </w:rPr>
        <w:t>Фурмановского муниципального района</w:t>
      </w:r>
      <w:r w:rsidR="00962B8F" w:rsidRPr="00865698">
        <w:rPr>
          <w:rFonts w:ascii="Times New Roman" w:hAnsi="Times New Roman"/>
          <w:sz w:val="28"/>
        </w:rPr>
        <w:t xml:space="preserve"> </w:t>
      </w:r>
      <w:r w:rsidRPr="00865698">
        <w:rPr>
          <w:rFonts w:ascii="Times New Roman" w:hAnsi="Times New Roman"/>
          <w:sz w:val="28"/>
        </w:rPr>
        <w:t xml:space="preserve">услуги по перевозке пассажиров автомобильным транспортом осуществляются по 13 муниципальным маршрутам регулярных перевозок, из них: 4 проходят по территории города Фурманов, 9 по территории города и сельских поселений. </w:t>
      </w:r>
      <w:r w:rsidR="00962B8F" w:rsidRPr="00865698">
        <w:rPr>
          <w:rFonts w:ascii="Times New Roman" w:hAnsi="Times New Roman"/>
          <w:sz w:val="28"/>
        </w:rPr>
        <w:t>В 202</w:t>
      </w:r>
      <w:r w:rsidR="008314CC">
        <w:rPr>
          <w:rFonts w:ascii="Times New Roman" w:hAnsi="Times New Roman"/>
          <w:sz w:val="28"/>
        </w:rPr>
        <w:t>4</w:t>
      </w:r>
      <w:r w:rsidR="00962B8F" w:rsidRPr="00865698">
        <w:rPr>
          <w:rFonts w:ascii="Times New Roman" w:hAnsi="Times New Roman"/>
          <w:sz w:val="28"/>
        </w:rPr>
        <w:t xml:space="preserve"> году </w:t>
      </w:r>
      <w:r w:rsidR="00962B8F">
        <w:rPr>
          <w:rFonts w:ascii="Times New Roman" w:hAnsi="Times New Roman"/>
          <w:sz w:val="28"/>
        </w:rPr>
        <w:t>п</w:t>
      </w:r>
      <w:r w:rsidRPr="00865698">
        <w:rPr>
          <w:rFonts w:ascii="Times New Roman" w:hAnsi="Times New Roman"/>
          <w:sz w:val="28"/>
        </w:rPr>
        <w:t>еревозку пассажиров автомобильным транспортом по указанным муниципальным маршрутам регулярных перевозок на территории Фурмановского муниципального района осуществля</w:t>
      </w:r>
      <w:r w:rsidR="00962B8F">
        <w:rPr>
          <w:rFonts w:ascii="Times New Roman" w:hAnsi="Times New Roman"/>
          <w:sz w:val="28"/>
        </w:rPr>
        <w:t>ли</w:t>
      </w:r>
      <w:r w:rsidRPr="00865698">
        <w:rPr>
          <w:rFonts w:ascii="Times New Roman" w:hAnsi="Times New Roman"/>
          <w:sz w:val="28"/>
        </w:rPr>
        <w:t xml:space="preserve"> </w:t>
      </w:r>
      <w:r w:rsidR="00C97FB2">
        <w:rPr>
          <w:rFonts w:ascii="Times New Roman" w:hAnsi="Times New Roman"/>
          <w:sz w:val="28"/>
        </w:rPr>
        <w:t>3</w:t>
      </w:r>
      <w:r w:rsidRPr="00865698">
        <w:rPr>
          <w:rFonts w:ascii="Times New Roman" w:hAnsi="Times New Roman"/>
          <w:sz w:val="28"/>
        </w:rPr>
        <w:t xml:space="preserve"> перевозчика – организации частной формы собственности. В 202</w:t>
      </w:r>
      <w:r w:rsidR="008314CC">
        <w:rPr>
          <w:rFonts w:ascii="Times New Roman" w:hAnsi="Times New Roman"/>
          <w:sz w:val="28"/>
        </w:rPr>
        <w:t>4</w:t>
      </w:r>
      <w:r w:rsidRPr="00865698">
        <w:rPr>
          <w:rFonts w:ascii="Times New Roman" w:hAnsi="Times New Roman"/>
          <w:sz w:val="28"/>
        </w:rPr>
        <w:t xml:space="preserve"> г</w:t>
      </w:r>
      <w:r w:rsidR="009F15A7">
        <w:rPr>
          <w:rFonts w:ascii="Times New Roman" w:hAnsi="Times New Roman"/>
          <w:sz w:val="28"/>
        </w:rPr>
        <w:t>оду д</w:t>
      </w:r>
      <w:r w:rsidRPr="00865698">
        <w:rPr>
          <w:rFonts w:ascii="Times New Roman" w:hAnsi="Times New Roman"/>
          <w:sz w:val="28"/>
        </w:rPr>
        <w:t>оля организаций частной формы собственности в сфере оказания услуг по перевозке пассажиров и багажа легковым такси на территории района составила 100%.</w:t>
      </w:r>
    </w:p>
    <w:p w:rsidR="00A34B21" w:rsidRDefault="00DE29D3" w:rsidP="007873C8">
      <w:pPr>
        <w:pStyle w:val="ab"/>
        <w:tabs>
          <w:tab w:val="left" w:pos="567"/>
        </w:tabs>
        <w:spacing w:before="0" w:beforeAutospacing="0" w:after="0" w:afterAutospacing="0"/>
        <w:ind w:right="10" w:firstLine="709"/>
        <w:jc w:val="center"/>
        <w:rPr>
          <w:b/>
          <w:sz w:val="28"/>
          <w:szCs w:val="28"/>
        </w:rPr>
      </w:pPr>
      <w:r w:rsidRPr="00F67A6C">
        <w:rPr>
          <w:b/>
          <w:sz w:val="28"/>
          <w:szCs w:val="28"/>
        </w:rPr>
        <w:lastRenderedPageBreak/>
        <w:t>Образование</w:t>
      </w:r>
    </w:p>
    <w:p w:rsidR="00B70698" w:rsidRPr="00DE29D3" w:rsidRDefault="00B70698" w:rsidP="007873C8">
      <w:pPr>
        <w:pStyle w:val="ab"/>
        <w:tabs>
          <w:tab w:val="left" w:pos="567"/>
        </w:tabs>
        <w:spacing w:before="0" w:beforeAutospacing="0" w:after="0" w:afterAutospacing="0"/>
        <w:ind w:right="10" w:firstLine="709"/>
        <w:jc w:val="center"/>
        <w:rPr>
          <w:b/>
          <w:sz w:val="28"/>
          <w:szCs w:val="28"/>
        </w:rPr>
      </w:pPr>
    </w:p>
    <w:p w:rsidR="00DE29D3" w:rsidRPr="00D843C2" w:rsidRDefault="002C4AF4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29D3" w:rsidRPr="00D843C2">
        <w:rPr>
          <w:rFonts w:ascii="Times New Roman" w:hAnsi="Times New Roman"/>
          <w:sz w:val="28"/>
          <w:szCs w:val="28"/>
        </w:rPr>
        <w:t xml:space="preserve"> систему образования Фурмановского муниципального района входят 2</w:t>
      </w:r>
      <w:r w:rsidR="00BA51F0">
        <w:rPr>
          <w:rFonts w:ascii="Times New Roman" w:hAnsi="Times New Roman"/>
          <w:sz w:val="28"/>
          <w:szCs w:val="28"/>
        </w:rPr>
        <w:t>4</w:t>
      </w:r>
      <w:r w:rsidR="00DE29D3" w:rsidRPr="00D843C2">
        <w:rPr>
          <w:rFonts w:ascii="Times New Roman" w:hAnsi="Times New Roman"/>
          <w:sz w:val="28"/>
          <w:szCs w:val="28"/>
        </w:rPr>
        <w:t xml:space="preserve"> образовательные организации:</w:t>
      </w:r>
    </w:p>
    <w:p w:rsidR="00DE29D3" w:rsidRPr="00D843C2" w:rsidRDefault="00DE29D3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3C2">
        <w:rPr>
          <w:rFonts w:ascii="Times New Roman" w:hAnsi="Times New Roman"/>
          <w:sz w:val="28"/>
          <w:szCs w:val="28"/>
        </w:rPr>
        <w:t>- 9 общеобразовательных школ, 5 из них городские (средние − 4, основные − 1), 4 - сельские (средние − 1, основные − 2, начальн</w:t>
      </w:r>
      <w:r w:rsidR="00CD2F5A">
        <w:rPr>
          <w:rFonts w:ascii="Times New Roman" w:hAnsi="Times New Roman"/>
          <w:sz w:val="28"/>
          <w:szCs w:val="28"/>
        </w:rPr>
        <w:t>ые</w:t>
      </w:r>
      <w:r w:rsidRPr="00D843C2">
        <w:rPr>
          <w:rFonts w:ascii="Times New Roman" w:hAnsi="Times New Roman"/>
          <w:sz w:val="28"/>
          <w:szCs w:val="28"/>
        </w:rPr>
        <w:t xml:space="preserve"> − 1);</w:t>
      </w:r>
      <w:proofErr w:type="gramEnd"/>
    </w:p>
    <w:p w:rsidR="00DE29D3" w:rsidRPr="00D843C2" w:rsidRDefault="00DE29D3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C2">
        <w:rPr>
          <w:rFonts w:ascii="Times New Roman" w:hAnsi="Times New Roman"/>
          <w:sz w:val="28"/>
          <w:szCs w:val="28"/>
        </w:rPr>
        <w:t>- 1</w:t>
      </w:r>
      <w:r w:rsidR="00CD2F5A">
        <w:rPr>
          <w:rFonts w:ascii="Times New Roman" w:hAnsi="Times New Roman"/>
          <w:sz w:val="28"/>
          <w:szCs w:val="28"/>
        </w:rPr>
        <w:t>0</w:t>
      </w:r>
      <w:r w:rsidRPr="00D843C2">
        <w:rPr>
          <w:rFonts w:ascii="Times New Roman" w:hAnsi="Times New Roman"/>
          <w:sz w:val="28"/>
          <w:szCs w:val="28"/>
        </w:rPr>
        <w:t xml:space="preserve"> дошкольных образовательных организаций, функционирующих на территории города. При трех сельских общеобразовательных школах − МОУ </w:t>
      </w:r>
      <w:proofErr w:type="spellStart"/>
      <w:r w:rsidRPr="00D843C2">
        <w:rPr>
          <w:rFonts w:ascii="Times New Roman" w:hAnsi="Times New Roman"/>
          <w:sz w:val="28"/>
          <w:szCs w:val="28"/>
        </w:rPr>
        <w:t>Дуляпинская</w:t>
      </w:r>
      <w:proofErr w:type="spellEnd"/>
      <w:r w:rsidRPr="00D843C2">
        <w:rPr>
          <w:rFonts w:ascii="Times New Roman" w:hAnsi="Times New Roman"/>
          <w:sz w:val="28"/>
          <w:szCs w:val="28"/>
        </w:rPr>
        <w:t xml:space="preserve"> ОШ, МОУ </w:t>
      </w:r>
      <w:proofErr w:type="spellStart"/>
      <w:r w:rsidRPr="00D843C2">
        <w:rPr>
          <w:rFonts w:ascii="Times New Roman" w:hAnsi="Times New Roman"/>
          <w:sz w:val="28"/>
          <w:szCs w:val="28"/>
        </w:rPr>
        <w:t>Хромцовская</w:t>
      </w:r>
      <w:proofErr w:type="spellEnd"/>
      <w:r w:rsidRPr="00D843C2">
        <w:rPr>
          <w:rFonts w:ascii="Times New Roman" w:hAnsi="Times New Roman"/>
          <w:sz w:val="28"/>
          <w:szCs w:val="28"/>
        </w:rPr>
        <w:t xml:space="preserve"> ОШ, МОУ </w:t>
      </w:r>
      <w:proofErr w:type="spellStart"/>
      <w:r w:rsidRPr="00D843C2">
        <w:rPr>
          <w:rFonts w:ascii="Times New Roman" w:hAnsi="Times New Roman"/>
          <w:sz w:val="28"/>
          <w:szCs w:val="28"/>
        </w:rPr>
        <w:t>Панинская</w:t>
      </w:r>
      <w:proofErr w:type="spellEnd"/>
      <w:r w:rsidRPr="00D843C2">
        <w:rPr>
          <w:rFonts w:ascii="Times New Roman" w:hAnsi="Times New Roman"/>
          <w:sz w:val="28"/>
          <w:szCs w:val="28"/>
        </w:rPr>
        <w:t xml:space="preserve"> НШ</w:t>
      </w:r>
      <w:r w:rsidR="00C37CE6">
        <w:rPr>
          <w:rFonts w:ascii="Times New Roman" w:hAnsi="Times New Roman"/>
          <w:sz w:val="28"/>
          <w:szCs w:val="28"/>
        </w:rPr>
        <w:t xml:space="preserve"> (</w:t>
      </w:r>
      <w:r w:rsidR="00C37CE6" w:rsidRPr="00D843C2">
        <w:rPr>
          <w:rFonts w:ascii="Times New Roman" w:hAnsi="Times New Roman"/>
          <w:sz w:val="28"/>
          <w:szCs w:val="28"/>
        </w:rPr>
        <w:t>малокомплектны</w:t>
      </w:r>
      <w:r w:rsidR="00C37CE6">
        <w:rPr>
          <w:rFonts w:ascii="Times New Roman" w:hAnsi="Times New Roman"/>
          <w:sz w:val="28"/>
          <w:szCs w:val="28"/>
        </w:rPr>
        <w:t>е</w:t>
      </w:r>
      <w:r w:rsidR="00C37CE6" w:rsidRPr="00D843C2">
        <w:rPr>
          <w:rFonts w:ascii="Times New Roman" w:hAnsi="Times New Roman"/>
          <w:sz w:val="28"/>
          <w:szCs w:val="28"/>
        </w:rPr>
        <w:t xml:space="preserve"> школ</w:t>
      </w:r>
      <w:r w:rsidR="00C37CE6">
        <w:rPr>
          <w:rFonts w:ascii="Times New Roman" w:hAnsi="Times New Roman"/>
          <w:sz w:val="28"/>
          <w:szCs w:val="28"/>
        </w:rPr>
        <w:t>ы)</w:t>
      </w:r>
      <w:r w:rsidRPr="00D843C2">
        <w:rPr>
          <w:rFonts w:ascii="Times New Roman" w:hAnsi="Times New Roman"/>
          <w:sz w:val="28"/>
          <w:szCs w:val="28"/>
        </w:rPr>
        <w:t xml:space="preserve"> − работают дошкольные группы;</w:t>
      </w:r>
    </w:p>
    <w:p w:rsidR="00C37CE6" w:rsidRDefault="00A66DC8" w:rsidP="00A66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- 5</w:t>
      </w:r>
      <w:r w:rsidR="00DE29D3" w:rsidRPr="00D843C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="00DE29D3" w:rsidRPr="00D843C2">
        <w:rPr>
          <w:rFonts w:ascii="Times New Roman" w:hAnsi="Times New Roman"/>
          <w:sz w:val="28"/>
          <w:szCs w:val="28"/>
        </w:rPr>
        <w:t xml:space="preserve"> дополнительного образования д</w:t>
      </w:r>
      <w:r>
        <w:rPr>
          <w:rFonts w:ascii="Times New Roman" w:hAnsi="Times New Roman"/>
          <w:sz w:val="28"/>
          <w:szCs w:val="28"/>
        </w:rPr>
        <w:t xml:space="preserve">етей, все расположены в </w:t>
      </w:r>
      <w:r w:rsidR="00BA51F0">
        <w:rPr>
          <w:rFonts w:ascii="Times New Roman" w:hAnsi="Times New Roman"/>
          <w:sz w:val="28"/>
          <w:szCs w:val="24"/>
        </w:rPr>
        <w:t>городе:</w:t>
      </w:r>
      <w:r w:rsidRPr="00A66DC8">
        <w:rPr>
          <w:rFonts w:ascii="Times New Roman" w:hAnsi="Times New Roman"/>
          <w:sz w:val="28"/>
          <w:szCs w:val="24"/>
        </w:rPr>
        <w:t xml:space="preserve"> </w:t>
      </w:r>
      <w:r w:rsidRPr="00A66DC8">
        <w:rPr>
          <w:rFonts w:ascii="Times New Roman" w:hAnsi="Times New Roman"/>
          <w:sz w:val="28"/>
          <w:szCs w:val="24"/>
          <w:shd w:val="clear" w:color="auto" w:fill="FFFFFF"/>
        </w:rPr>
        <w:t>3 учреждения дополнительного образования – однопрофильные, реализуют образовательные программы в одной области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(Детская музыкальная школа, Детская художественная школа, Детская спортивная школа</w:t>
      </w:r>
      <w:r w:rsidR="00BA51F0">
        <w:rPr>
          <w:rFonts w:ascii="Times New Roman" w:hAnsi="Times New Roman"/>
          <w:sz w:val="28"/>
          <w:szCs w:val="24"/>
          <w:shd w:val="clear" w:color="auto" w:fill="FFFFFF"/>
        </w:rPr>
        <w:t>)</w:t>
      </w:r>
      <w:r>
        <w:rPr>
          <w:rFonts w:ascii="Times New Roman" w:hAnsi="Times New Roman"/>
          <w:sz w:val="28"/>
          <w:szCs w:val="24"/>
          <w:shd w:val="clear" w:color="auto" w:fill="FFFFFF"/>
        </w:rPr>
        <w:t>, 1 учреждение</w:t>
      </w:r>
      <w:r w:rsidRPr="00A66DC8">
        <w:rPr>
          <w:rFonts w:ascii="Times New Roman" w:hAnsi="Times New Roman"/>
          <w:sz w:val="28"/>
          <w:szCs w:val="24"/>
          <w:shd w:val="clear" w:color="auto" w:fill="FFFFFF"/>
        </w:rPr>
        <w:t xml:space="preserve"> многопрофильное, где обучение ведется по нескольким направлениям </w:t>
      </w:r>
      <w:r>
        <w:rPr>
          <w:rFonts w:ascii="Times New Roman" w:hAnsi="Times New Roman"/>
          <w:sz w:val="28"/>
          <w:szCs w:val="24"/>
          <w:shd w:val="clear" w:color="auto" w:fill="FFFFFF"/>
        </w:rPr>
        <w:t>(</w:t>
      </w:r>
      <w:r w:rsidRPr="00A66DC8">
        <w:rPr>
          <w:rFonts w:ascii="Times New Roman" w:hAnsi="Times New Roman"/>
          <w:sz w:val="28"/>
          <w:szCs w:val="24"/>
          <w:shd w:val="clear" w:color="auto" w:fill="FFFFFF"/>
        </w:rPr>
        <w:t>Центр детского творчества</w:t>
      </w:r>
      <w:r w:rsidR="00BA51F0">
        <w:rPr>
          <w:rFonts w:ascii="Times New Roman" w:hAnsi="Times New Roman"/>
          <w:sz w:val="28"/>
          <w:szCs w:val="24"/>
          <w:shd w:val="clear" w:color="auto" w:fill="FFFFFF"/>
        </w:rPr>
        <w:t>).</w:t>
      </w:r>
    </w:p>
    <w:p w:rsidR="00A66DC8" w:rsidRPr="00C37CE6" w:rsidRDefault="00C37CE6" w:rsidP="00C37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На территории Фурмановского муниципального района также есть </w:t>
      </w:r>
      <w:r w:rsidR="00A66DC8">
        <w:rPr>
          <w:rFonts w:ascii="Times New Roman" w:hAnsi="Times New Roman"/>
          <w:sz w:val="28"/>
          <w:szCs w:val="24"/>
          <w:shd w:val="clear" w:color="auto" w:fill="FFFFFF"/>
        </w:rPr>
        <w:t>1 частное учреждение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дополнительного образования</w:t>
      </w:r>
      <w:r w:rsidR="00A66DC8">
        <w:rPr>
          <w:rFonts w:ascii="Times New Roman" w:hAnsi="Times New Roman"/>
          <w:sz w:val="28"/>
          <w:szCs w:val="24"/>
          <w:shd w:val="clear" w:color="auto" w:fill="FFFFFF"/>
        </w:rPr>
        <w:t xml:space="preserve"> – Центр развития и творчества «Умка»;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и </w:t>
      </w:r>
      <w:r w:rsidR="00A66DC8" w:rsidRPr="00C37CE6">
        <w:rPr>
          <w:rFonts w:ascii="Times New Roman" w:hAnsi="Times New Roman"/>
          <w:sz w:val="28"/>
          <w:szCs w:val="24"/>
          <w:shd w:val="clear" w:color="auto" w:fill="FFFFFF"/>
        </w:rPr>
        <w:t xml:space="preserve">1 учреждение профессионального образования </w:t>
      </w:r>
      <w:r w:rsidR="00A66DC8" w:rsidRPr="00C37CE6">
        <w:rPr>
          <w:rFonts w:ascii="Times New Roman" w:hAnsi="Times New Roman"/>
          <w:sz w:val="28"/>
          <w:szCs w:val="24"/>
        </w:rPr>
        <w:t>ОГБПОУ Фурмановский технический колледж.</w:t>
      </w:r>
    </w:p>
    <w:p w:rsidR="00B70698" w:rsidRPr="00D843C2" w:rsidRDefault="00B70698" w:rsidP="00787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3C2" w:rsidRDefault="00D843C2" w:rsidP="007873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15A71">
        <w:rPr>
          <w:rFonts w:ascii="Times New Roman" w:hAnsi="Times New Roman"/>
          <w:b/>
          <w:sz w:val="28"/>
        </w:rPr>
        <w:t>Здравоохранение</w:t>
      </w:r>
    </w:p>
    <w:p w:rsidR="00B70698" w:rsidRPr="007873C8" w:rsidRDefault="00B70698" w:rsidP="007873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B20C1" w:rsidRPr="007873C8" w:rsidRDefault="00D843C2" w:rsidP="007873C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873C8">
        <w:rPr>
          <w:rFonts w:ascii="Times New Roman" w:eastAsia="TimesNewRomanPSMT" w:hAnsi="Times New Roman"/>
          <w:sz w:val="28"/>
          <w:szCs w:val="28"/>
        </w:rPr>
        <w:t xml:space="preserve">На территории </w:t>
      </w:r>
      <w:r w:rsidR="007873C8" w:rsidRPr="007873C8">
        <w:rPr>
          <w:rFonts w:ascii="Times New Roman" w:eastAsia="TimesNewRomanPSMT" w:hAnsi="Times New Roman"/>
          <w:sz w:val="28"/>
          <w:szCs w:val="28"/>
        </w:rPr>
        <w:t>Фурмановского муниципального района располагается 10 частных медицинских учреждений</w:t>
      </w:r>
      <w:r w:rsidRPr="007873C8">
        <w:rPr>
          <w:rFonts w:ascii="Times New Roman" w:eastAsia="TimesNewRomanPSMT" w:hAnsi="Times New Roman"/>
          <w:sz w:val="28"/>
          <w:szCs w:val="28"/>
        </w:rPr>
        <w:t xml:space="preserve"> </w:t>
      </w:r>
      <w:r w:rsidR="007873C8" w:rsidRPr="007873C8">
        <w:rPr>
          <w:rFonts w:ascii="Times New Roman" w:eastAsia="TimesNewRomanPSMT" w:hAnsi="Times New Roman"/>
          <w:sz w:val="28"/>
          <w:szCs w:val="28"/>
        </w:rPr>
        <w:t>и ОБУЗ «Фурмановская ЦРБ».</w:t>
      </w:r>
    </w:p>
    <w:p w:rsidR="00B70698" w:rsidRDefault="00D843C2" w:rsidP="00B70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3C8">
        <w:rPr>
          <w:rFonts w:ascii="Times New Roman" w:hAnsi="Times New Roman"/>
          <w:sz w:val="28"/>
          <w:szCs w:val="28"/>
        </w:rPr>
        <w:t xml:space="preserve">Розничную продажу лекарств на территории муниципального образования осуществляют </w:t>
      </w:r>
      <w:r w:rsidR="000B20C1" w:rsidRPr="007873C8">
        <w:rPr>
          <w:rFonts w:ascii="Times New Roman" w:hAnsi="Times New Roman"/>
          <w:sz w:val="28"/>
          <w:szCs w:val="28"/>
        </w:rPr>
        <w:t>1</w:t>
      </w:r>
      <w:r w:rsidR="00115A71">
        <w:rPr>
          <w:rFonts w:ascii="Times New Roman" w:hAnsi="Times New Roman"/>
          <w:sz w:val="28"/>
          <w:szCs w:val="28"/>
        </w:rPr>
        <w:t>7</w:t>
      </w:r>
      <w:r w:rsidRPr="007873C8">
        <w:rPr>
          <w:rFonts w:ascii="Times New Roman" w:hAnsi="Times New Roman"/>
          <w:sz w:val="28"/>
          <w:szCs w:val="28"/>
        </w:rPr>
        <w:t xml:space="preserve"> объектов розничной торговли: </w:t>
      </w:r>
      <w:r w:rsidR="000B20C1" w:rsidRPr="007873C8">
        <w:rPr>
          <w:rFonts w:ascii="Times New Roman" w:hAnsi="Times New Roman"/>
          <w:sz w:val="28"/>
          <w:szCs w:val="28"/>
        </w:rPr>
        <w:t>9</w:t>
      </w:r>
      <w:r w:rsidRPr="007873C8">
        <w:rPr>
          <w:rFonts w:ascii="Times New Roman" w:hAnsi="Times New Roman"/>
          <w:sz w:val="28"/>
          <w:szCs w:val="28"/>
        </w:rPr>
        <w:t xml:space="preserve"> аптек и </w:t>
      </w:r>
      <w:r w:rsidR="00115A71">
        <w:rPr>
          <w:rFonts w:ascii="Times New Roman" w:hAnsi="Times New Roman"/>
          <w:sz w:val="28"/>
          <w:szCs w:val="28"/>
        </w:rPr>
        <w:t>8</w:t>
      </w:r>
      <w:r w:rsidRPr="007873C8">
        <w:rPr>
          <w:rFonts w:ascii="Times New Roman" w:hAnsi="Times New Roman"/>
          <w:sz w:val="28"/>
          <w:szCs w:val="28"/>
        </w:rPr>
        <w:t xml:space="preserve"> аптечных пункт</w:t>
      </w:r>
      <w:r w:rsidR="000B20C1" w:rsidRPr="007873C8">
        <w:rPr>
          <w:rFonts w:ascii="Times New Roman" w:hAnsi="Times New Roman"/>
          <w:sz w:val="28"/>
          <w:szCs w:val="28"/>
        </w:rPr>
        <w:t>ов</w:t>
      </w:r>
      <w:r w:rsidRPr="007873C8">
        <w:rPr>
          <w:rFonts w:ascii="Times New Roman" w:hAnsi="Times New Roman"/>
          <w:sz w:val="28"/>
          <w:szCs w:val="28"/>
        </w:rPr>
        <w:t>.</w:t>
      </w:r>
      <w:r w:rsidR="000B5D82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0B20C1" w:rsidRPr="007873C8">
        <w:rPr>
          <w:rFonts w:ascii="Times New Roman" w:hAnsi="Times New Roman"/>
          <w:sz w:val="28"/>
          <w:szCs w:val="28"/>
        </w:rPr>
        <w:t xml:space="preserve">В настоящее время на </w:t>
      </w:r>
      <w:proofErr w:type="gramStart"/>
      <w:r w:rsidR="000B20C1" w:rsidRPr="007873C8">
        <w:rPr>
          <w:rFonts w:ascii="Times New Roman" w:hAnsi="Times New Roman"/>
          <w:sz w:val="28"/>
          <w:szCs w:val="28"/>
        </w:rPr>
        <w:t>рынке</w:t>
      </w:r>
      <w:proofErr w:type="gramEnd"/>
      <w:r w:rsidR="000B20C1" w:rsidRPr="007873C8">
        <w:rPr>
          <w:rFonts w:ascii="Times New Roman" w:hAnsi="Times New Roman"/>
          <w:sz w:val="28"/>
          <w:szCs w:val="28"/>
        </w:rPr>
        <w:t xml:space="preserve"> розничной торговли лекарственными препаратами, медицинскими изделиями и сопутствующими товарами доля организаций частной формы </w:t>
      </w:r>
      <w:r w:rsidR="00B70698">
        <w:rPr>
          <w:rFonts w:ascii="Times New Roman" w:hAnsi="Times New Roman"/>
          <w:sz w:val="28"/>
          <w:szCs w:val="28"/>
        </w:rPr>
        <w:t>собственности составляет 94,4%.</w:t>
      </w:r>
    </w:p>
    <w:p w:rsidR="00B70698" w:rsidRDefault="00B70698" w:rsidP="00B70698">
      <w:pPr>
        <w:widowControl w:val="0"/>
        <w:spacing w:after="0" w:line="270" w:lineRule="exact"/>
        <w:jc w:val="both"/>
        <w:rPr>
          <w:rFonts w:ascii="Times New Roman" w:hAnsi="Times New Roman"/>
          <w:sz w:val="28"/>
          <w:szCs w:val="28"/>
        </w:rPr>
      </w:pPr>
    </w:p>
    <w:p w:rsidR="001F753F" w:rsidRDefault="001F753F" w:rsidP="00062D02">
      <w:pPr>
        <w:widowControl w:val="0"/>
        <w:spacing w:after="0" w:line="270" w:lineRule="exact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02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опросов хозяйствующих субъектов и потребителей.</w:t>
      </w:r>
    </w:p>
    <w:p w:rsidR="00B70698" w:rsidRPr="00730242" w:rsidRDefault="00B70698" w:rsidP="00B70698">
      <w:pPr>
        <w:widowControl w:val="0"/>
        <w:spacing w:after="0" w:line="270" w:lineRule="exac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4EE3" w:rsidRDefault="001F753F" w:rsidP="00584EE3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социологической части мониторинга состояния и развития конкурентной среды в </w:t>
      </w:r>
      <w:r w:rsidR="00730242"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анкетирование с общей </w:t>
      </w:r>
      <w:r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выборкой в </w:t>
      </w:r>
      <w:r w:rsidR="007624D7" w:rsidRPr="001908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C3B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0384" w:rsidRPr="00190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</w:t>
      </w:r>
      <w:r w:rsidR="007624D7"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0242"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624D7" w:rsidRPr="001908D6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730242"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</w:t>
      </w:r>
      <w:r w:rsidR="007624D7"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30242" w:rsidRPr="00190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потребителей</w:t>
      </w:r>
      <w:r w:rsidR="00730242"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903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3B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0242"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</w:t>
      </w:r>
      <w:r w:rsidR="00BC3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30242"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субъектов </w:t>
      </w:r>
      <w:r w:rsidR="00730242"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</w:t>
      </w:r>
      <w:r w:rsid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ьской деятельности</w:t>
      </w:r>
      <w:r w:rsidR="00730242" w:rsidRPr="0073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84EE3" w:rsidRPr="00584EE3" w:rsidRDefault="00584EE3" w:rsidP="00584EE3">
      <w:pPr>
        <w:widowControl w:val="0"/>
        <w:spacing w:after="0" w:line="322" w:lineRule="exact"/>
        <w:ind w:left="20" w:right="2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81A49" w:rsidRDefault="00581A49" w:rsidP="00D55A9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584EE3" w:rsidRDefault="00584EE3" w:rsidP="00D55A9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584EE3" w:rsidSect="00581A49">
          <w:footerReference w:type="default" r:id="rId9"/>
          <w:pgSz w:w="11906" w:h="16838"/>
          <w:pgMar w:top="851" w:right="851" w:bottom="709" w:left="1560" w:header="709" w:footer="227" w:gutter="0"/>
          <w:cols w:space="708"/>
          <w:docGrid w:linePitch="360"/>
        </w:sectPr>
      </w:pPr>
    </w:p>
    <w:p w:rsidR="001F753F" w:rsidRDefault="001F753F" w:rsidP="00D55A9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1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Мониторинг наличия (отсутствия) административных барьеров и оценки состояния конкурентной среды субъектами предпринимательской деятельности.</w:t>
      </w:r>
    </w:p>
    <w:p w:rsidR="007411AC" w:rsidRPr="0044515A" w:rsidRDefault="007411AC" w:rsidP="00D55A9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0AD1" w:rsidRDefault="001F753F" w:rsidP="00090AD1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социологической части мониторинга </w:t>
      </w:r>
      <w:r w:rsidR="00F00F55"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наличия (отсутствия) административных барьеров и оценки </w:t>
      </w:r>
      <w:r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состояния конкурентной среды в </w:t>
      </w:r>
      <w:r w:rsidR="00730242"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анкетирование с общей выборкой в </w:t>
      </w:r>
      <w:r w:rsidR="00730242"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102F" w:rsidRPr="00C91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6D4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56BFD" w:rsidRPr="00C91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индивидуальны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C56BFD" w:rsidRPr="00C91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предпринимател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8F102F" w:rsidRPr="00C91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5B5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C56BFD" w:rsidRPr="00C91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юридических лиц)</w:t>
      </w:r>
      <w:r w:rsidRPr="00C91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09A9" w:rsidRDefault="003209A9" w:rsidP="00090AD1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309F" w:rsidRDefault="003A309F" w:rsidP="00090AD1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масштабу бизнеса респонденты распределились по следующим категориям:</w:t>
      </w:r>
    </w:p>
    <w:p w:rsidR="003A309F" w:rsidRDefault="008A536C" w:rsidP="003A309F">
      <w:pPr>
        <w:pStyle w:val="a9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 предприятие (до 120 млн.</w:t>
      </w:r>
      <w:r w:rsidR="00E6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</w:t>
      </w:r>
      <w:r w:rsidR="003A309F"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A309F"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3A309F" w:rsidRDefault="003A309F" w:rsidP="003A309F">
      <w:pPr>
        <w:pStyle w:val="a9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Малое предприятие (от 120 до 800 млн.</w:t>
      </w:r>
      <w:r w:rsidR="00E6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– </w:t>
      </w:r>
      <w:r w:rsidR="000E4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3A309F" w:rsidRDefault="003A309F" w:rsidP="003A309F">
      <w:pPr>
        <w:pStyle w:val="a9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предприятие (от 800 до 2000 млн.</w:t>
      </w:r>
      <w:r w:rsidR="00E6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– </w:t>
      </w:r>
      <w:r w:rsidR="00415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3A309F" w:rsidRPr="006D4F81" w:rsidRDefault="003A309F" w:rsidP="006D4F81">
      <w:pPr>
        <w:pStyle w:val="a9"/>
        <w:widowControl w:val="0"/>
        <w:numPr>
          <w:ilvl w:val="0"/>
          <w:numId w:val="16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Крупное предприятие (от 2000 млн.</w:t>
      </w:r>
      <w:r w:rsidR="00E6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– </w:t>
      </w:r>
      <w:r w:rsidR="00415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6D4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1F753F" w:rsidRDefault="001F753F" w:rsidP="00D55A9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Наибольший удельный вес респондентов пришелся на субъекты предпринимательской деятельности</w:t>
      </w:r>
      <w:r w:rsidR="00730242"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осуществляющих свою деятельность на следующих рынках:</w:t>
      </w:r>
    </w:p>
    <w:p w:rsidR="00B70698" w:rsidRPr="008F102F" w:rsidRDefault="00B70698" w:rsidP="00D55A97">
      <w:pPr>
        <w:widowControl w:val="0"/>
        <w:spacing w:after="0" w:line="240" w:lineRule="auto"/>
        <w:ind w:left="23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1796" w:rsidRDefault="00F21796" w:rsidP="006010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F6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996DD2" wp14:editId="6B1709C5">
            <wp:extent cx="5486400" cy="363474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1796" w:rsidRPr="00601067" w:rsidRDefault="00631F69" w:rsidP="00601067">
      <w:pPr>
        <w:widowControl w:val="0"/>
        <w:jc w:val="center"/>
        <w:rPr>
          <w:b/>
          <w:bCs/>
          <w:color w:val="000000"/>
          <w:sz w:val="23"/>
          <w:szCs w:val="23"/>
        </w:rPr>
      </w:pPr>
      <w:r w:rsidRPr="00FC161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Рис. 1. </w:t>
      </w:r>
      <w:r w:rsidRPr="003A309F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Распределение респондентов по сфере деятельности</w:t>
      </w:r>
    </w:p>
    <w:p w:rsidR="00FD402F" w:rsidRDefault="00FD402F" w:rsidP="00601067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численности сотрудников респонденты разделились следующим образом:</w:t>
      </w:r>
    </w:p>
    <w:p w:rsidR="00FD402F" w:rsidRPr="00FD402F" w:rsidRDefault="00FD402F" w:rsidP="00755175">
      <w:pPr>
        <w:pStyle w:val="a9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  <w:r w:rsidRPr="00FD40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До 15 человек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FA3B7B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6</w:t>
      </w:r>
      <w:r w:rsidR="00DA774A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FD402F" w:rsidRPr="00FD402F" w:rsidRDefault="00FD402F" w:rsidP="00755175">
      <w:pPr>
        <w:pStyle w:val="a9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  <w:r w:rsidRPr="00FD40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От 16 до 100 человек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FA3B7B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2</w:t>
      </w:r>
      <w:r w:rsidR="00C87CFB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FD402F" w:rsidRPr="00FD402F" w:rsidRDefault="00FD402F" w:rsidP="00755175">
      <w:pPr>
        <w:pStyle w:val="a9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  <w:r w:rsidRPr="00FD40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От 101 до 250 человек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DA774A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FD402F" w:rsidRPr="00FD402F" w:rsidRDefault="00FA3B7B" w:rsidP="00FA3B7B">
      <w:pPr>
        <w:pStyle w:val="a9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40"/>
          <w:szCs w:val="28"/>
          <w:lang w:eastAsia="ru-RU"/>
        </w:rPr>
      </w:pPr>
      <w:r w:rsidRPr="00FA3B7B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От 251 до 1000 человек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FD40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C87CFB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2</w:t>
      </w:r>
      <w:r w:rsidR="00FD40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096EB2" w:rsidRDefault="00096EB2" w:rsidP="00601067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7780" w:rsidRPr="00601067" w:rsidRDefault="001F753F" w:rsidP="00601067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периоду времени</w:t>
      </w:r>
      <w:r w:rsidR="008F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течение</w:t>
      </w:r>
      <w:r w:rsidRPr="00FC1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осуществляют свою деятельность субъекты предпринимательской деятельности, респонденты р</w:t>
      </w:r>
      <w:r w:rsidR="003A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аспределились следующим образом:</w:t>
      </w:r>
    </w:p>
    <w:p w:rsidR="001F753F" w:rsidRPr="00C250B3" w:rsidRDefault="001F753F" w:rsidP="001F753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highlight w:val="lightGray"/>
          <w:lang w:eastAsia="ru-RU"/>
        </w:rPr>
      </w:pPr>
    </w:p>
    <w:p w:rsidR="00CB6A87" w:rsidRDefault="00CB6A87" w:rsidP="00FC16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C250B3">
        <w:rPr>
          <w:rFonts w:ascii="Courier New" w:eastAsia="Courier New" w:hAnsi="Courier New" w:cs="Courier New"/>
          <w:noProof/>
          <w:color w:val="000000"/>
          <w:sz w:val="2"/>
          <w:szCs w:val="2"/>
          <w:highlight w:val="lightGray"/>
          <w:lang w:eastAsia="ru-RU"/>
        </w:rPr>
        <w:drawing>
          <wp:inline distT="0" distB="0" distL="0" distR="0" wp14:anchorId="6DDECDC3" wp14:editId="1788B425">
            <wp:extent cx="4000500" cy="131826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1616" w:rsidRPr="00FC1616" w:rsidRDefault="003A309F" w:rsidP="00FC16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 2</w:t>
      </w:r>
      <w:r w:rsidR="00FC1616" w:rsidRPr="00FC161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Период времени, в течение которого осуществляют свою деятельность </w:t>
      </w:r>
    </w:p>
    <w:p w:rsidR="00FC1616" w:rsidRPr="00FC1616" w:rsidRDefault="00FC1616" w:rsidP="00FC161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FC161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субъекты предпринимательской деятельности </w:t>
      </w:r>
    </w:p>
    <w:p w:rsidR="00062D02" w:rsidRDefault="00062D02" w:rsidP="002D683B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Default="001F753F" w:rsidP="002D683B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респондентов осуществляют свою </w:t>
      </w:r>
      <w:r w:rsidR="0093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на локальном </w:t>
      </w:r>
      <w:proofErr w:type="gramStart"/>
      <w:r w:rsidR="0093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рынке</w:t>
      </w:r>
      <w:proofErr w:type="gramEnd"/>
      <w:r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1616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</w:t>
      </w:r>
      <w:r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  <w:r w:rsidR="00A810C9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60E3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рынке Ивановской области – </w:t>
      </w:r>
      <w:r w:rsidR="0048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3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160E3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="00937E23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рынке Россий</w:t>
      </w:r>
      <w:r w:rsidR="00DA7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Федерации – 13</w:t>
      </w:r>
      <w:r w:rsidR="0093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на рынке стран СНГ – 6%, </w:t>
      </w:r>
      <w:r w:rsidR="00B160E3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рынках нескольких суб</w:t>
      </w:r>
      <w:r w:rsidR="00663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ъектов Российской Федерации – </w:t>
      </w:r>
      <w:r w:rsidR="00937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3%</w:t>
      </w:r>
      <w:r w:rsidR="0048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384D" w:rsidRDefault="009A384D" w:rsidP="002D683B">
      <w:pPr>
        <w:widowControl w:val="0"/>
        <w:spacing w:after="0" w:line="240" w:lineRule="auto"/>
        <w:ind w:left="23" w:right="23" w:firstLine="686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</w:p>
    <w:p w:rsidR="00581A49" w:rsidRDefault="00581A49" w:rsidP="002D683B">
      <w:pPr>
        <w:widowControl w:val="0"/>
        <w:spacing w:after="0" w:line="240" w:lineRule="auto"/>
        <w:ind w:left="23" w:right="23" w:firstLine="686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proofErr w:type="gramStart"/>
      <w:r w:rsidRPr="00581A4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Основной продукцией (товаром, работой, услугой) бизнеса, который осуществляют опрошенные респонденты, является:</w:t>
      </w:r>
      <w:proofErr w:type="gramEnd"/>
    </w:p>
    <w:p w:rsidR="00CE416F" w:rsidRDefault="00CE416F" w:rsidP="00CE416F">
      <w:pPr>
        <w:pStyle w:val="a9"/>
        <w:widowControl w:val="0"/>
        <w:numPr>
          <w:ilvl w:val="0"/>
          <w:numId w:val="19"/>
        </w:numPr>
        <w:spacing w:after="0" w:line="240" w:lineRule="auto"/>
        <w:ind w:left="0" w:right="23" w:firstLine="105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4A4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044818" w:rsidRPr="00F1697E" w:rsidRDefault="00044818" w:rsidP="00044818">
      <w:pPr>
        <w:pStyle w:val="a9"/>
        <w:widowControl w:val="0"/>
        <w:numPr>
          <w:ilvl w:val="0"/>
          <w:numId w:val="19"/>
        </w:numPr>
        <w:spacing w:after="0" w:line="240" w:lineRule="auto"/>
        <w:ind w:left="0" w:right="23" w:firstLine="105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Конечная продукция – </w:t>
      </w:r>
      <w:r w:rsidR="004A4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</w:t>
      </w: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CE416F" w:rsidRPr="00F1697E" w:rsidRDefault="00CE416F" w:rsidP="00F1697E">
      <w:pPr>
        <w:pStyle w:val="a9"/>
        <w:widowControl w:val="0"/>
        <w:numPr>
          <w:ilvl w:val="0"/>
          <w:numId w:val="19"/>
        </w:numPr>
        <w:spacing w:after="0" w:line="240" w:lineRule="auto"/>
        <w:ind w:left="0" w:right="23" w:firstLine="105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Сырье и материалы для дальнейшей переработки – </w:t>
      </w:r>
      <w:r w:rsidR="004A4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83001E" w:rsidRPr="00F1697E" w:rsidRDefault="0083001E" w:rsidP="0083001E">
      <w:pPr>
        <w:pStyle w:val="a9"/>
        <w:widowControl w:val="0"/>
        <w:numPr>
          <w:ilvl w:val="0"/>
          <w:numId w:val="19"/>
        </w:numPr>
        <w:spacing w:after="0" w:line="240" w:lineRule="auto"/>
        <w:ind w:left="0" w:right="23" w:firstLine="105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Компоненты для производства конечной продукции – </w:t>
      </w:r>
      <w:r w:rsidR="00CE4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83001E" w:rsidRPr="00F1697E" w:rsidRDefault="0083001E" w:rsidP="0083001E">
      <w:pPr>
        <w:pStyle w:val="a9"/>
        <w:widowControl w:val="0"/>
        <w:numPr>
          <w:ilvl w:val="0"/>
          <w:numId w:val="19"/>
        </w:numPr>
        <w:spacing w:after="0" w:line="240" w:lineRule="auto"/>
        <w:ind w:left="0" w:right="23" w:firstLine="105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Торговля и</w:t>
      </w:r>
      <w:r w:rsidR="00937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 дистрибуция товаров и услуг </w:t>
      </w: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CE4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16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581A49" w:rsidRPr="00B160E3" w:rsidRDefault="00581A49" w:rsidP="002D683B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4AD5" w:rsidRDefault="001F753F" w:rsidP="009A384D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мониторинга были получены оценки представителей хозяйствующих субъектов относительно уровня конкурентной среды на представляемых ими рынках. </w:t>
      </w:r>
      <w:r w:rsidR="00A810C9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респондентов </w:t>
      </w:r>
      <w:r w:rsidR="004D5B4B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1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F750E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1298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отметило,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1298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</w:t>
      </w:r>
      <w:r w:rsidR="00631298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регулярно предпринимать меры по повышению конкурентоспособности</w:t>
      </w:r>
      <w:r w:rsidR="00E64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D4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6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D46BB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E64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респондентов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отметило, что требуется </w:t>
      </w:r>
      <w:r w:rsidR="00631298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применять </w:t>
      </w:r>
      <w:r w:rsidR="00D55D5F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631298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способы ее повышения</w:t>
      </w:r>
      <w:r w:rsidR="007D4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D46BB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D55D5F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отметили, что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631298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ремя от времени (раз в 2 - 3 года) может потребоваться реализация мер по повышению</w:t>
      </w:r>
      <w:r w:rsidR="007D4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</w:t>
      </w:r>
      <w:r w:rsidR="00C55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 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F750E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</w:t>
      </w:r>
      <w:r w:rsidR="00752566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пондентов </w:t>
      </w:r>
      <w:r w:rsidR="00CE4312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отмечают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 w:rsidR="00D55D5F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</w:t>
      </w:r>
      <w:r w:rsidR="00D55D5F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</w:t>
      </w:r>
      <w:r w:rsidR="00D55D5F" w:rsidRP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предпринимать меры по повышению конкурентоспособности</w:t>
      </w:r>
      <w:r w:rsidR="00AA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</w:t>
      </w:r>
      <w:r w:rsidR="00161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1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61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 отме</w:t>
      </w:r>
      <w:r w:rsidR="00E64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чают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="00161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D5F" w:rsidRP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необходимости реализовывать какие-либо меры</w:t>
      </w:r>
      <w:r w:rsidR="00161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Таким образом, в связи с разницей между индикаторами, можно сделать вывод, что степень конкуренции</w:t>
      </w:r>
      <w:r w:rsidR="0033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сильно зависит от вида деятельности бизнеса респондентов.</w:t>
      </w:r>
    </w:p>
    <w:p w:rsidR="00FA4AD5" w:rsidRPr="00FA4AD5" w:rsidRDefault="001C3FFA" w:rsidP="00FA4AD5">
      <w:pPr>
        <w:widowControl w:val="0"/>
        <w:spacing w:after="0" w:line="240" w:lineRule="auto"/>
        <w:ind w:left="23" w:right="23" w:firstLine="119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highlight w:val="lightGray"/>
          <w:lang w:eastAsia="ru-RU"/>
        </w:rPr>
      </w:pPr>
      <w:r w:rsidRPr="00FA4AD5">
        <w:rPr>
          <w:rFonts w:ascii="Times New Roman" w:eastAsia="Times New Roman" w:hAnsi="Times New Roman"/>
          <w:b/>
          <w:noProof/>
          <w:color w:val="000000"/>
          <w:sz w:val="23"/>
          <w:szCs w:val="23"/>
          <w:lang w:eastAsia="ru-RU"/>
        </w:rPr>
        <w:drawing>
          <wp:inline distT="0" distB="0" distL="0" distR="0" wp14:anchorId="72739E1E" wp14:editId="5885EB52">
            <wp:extent cx="5844540" cy="1455420"/>
            <wp:effectExtent l="0" t="19050" r="381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83B" w:rsidRPr="002D683B" w:rsidRDefault="003F6418" w:rsidP="002D683B">
      <w:pPr>
        <w:widowControl w:val="0"/>
        <w:spacing w:after="0" w:line="240" w:lineRule="auto"/>
        <w:ind w:left="23" w:right="23" w:firstLine="544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Рис. 3</w:t>
      </w:r>
      <w:r w:rsidR="002D683B" w:rsidRPr="002D683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 Оценка субъектами предпринимательской деятельности состояния</w:t>
      </w:r>
    </w:p>
    <w:p w:rsidR="002D683B" w:rsidRDefault="002D683B" w:rsidP="002D683B">
      <w:pPr>
        <w:widowControl w:val="0"/>
        <w:spacing w:after="0" w:line="240" w:lineRule="auto"/>
        <w:ind w:left="23" w:right="23" w:firstLine="544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2D683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конкурентной среды в Фурмановском муниципальном районе</w:t>
      </w:r>
    </w:p>
    <w:p w:rsidR="00677BB3" w:rsidRDefault="001F753F" w:rsidP="00677BB3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Вместе с тем</w:t>
      </w:r>
      <w:r w:rsidR="002D683B"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большинство респондентов</w:t>
      </w:r>
      <w:r w:rsidR="0052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считают, что число конкурентов на представляемом ими </w:t>
      </w:r>
      <w:proofErr w:type="gramStart"/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рынке</w:t>
      </w:r>
      <w:proofErr w:type="gramEnd"/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последние три года увеличилось (на 1-3 конкурентов </w:t>
      </w:r>
      <w:r w:rsidR="00524518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EE7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более чем на 4 конкурента </w:t>
      </w:r>
      <w:r w:rsidR="00524518" w:rsidRPr="00B16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%). Неизменным считают количество конкурентов </w:t>
      </w:r>
      <w:r w:rsidR="00007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E7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8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опрошенных.</w:t>
      </w:r>
      <w:r w:rsidRPr="002D6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7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Затруднились ответить </w:t>
      </w:r>
      <w:r w:rsidR="00382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537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респондентов.</w:t>
      </w:r>
    </w:p>
    <w:p w:rsidR="00FE53EF" w:rsidRDefault="00FE53EF" w:rsidP="001F75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3EF" w:rsidRDefault="00FE53EF" w:rsidP="001F75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Мнение субъектов предпринимательства касаемо степени конкуренции на своем отраслевом рынке в Фурмановском муниципальном районе</w:t>
      </w:r>
      <w:r w:rsidR="00ED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распределилось следующим образом.</w:t>
      </w:r>
    </w:p>
    <w:p w:rsidR="00ED79B9" w:rsidRDefault="009A384D" w:rsidP="002C351D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797EB1" wp14:editId="47FE374C">
            <wp:simplePos x="0" y="0"/>
            <wp:positionH relativeFrom="column">
              <wp:posOffset>441960</wp:posOffset>
            </wp:positionH>
            <wp:positionV relativeFrom="paragraph">
              <wp:posOffset>882015</wp:posOffset>
            </wp:positionV>
            <wp:extent cx="5486400" cy="1440180"/>
            <wp:effectExtent l="0" t="0" r="0" b="0"/>
            <wp:wrapTopAndBottom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2/3 респондентов считают, что степень конкуренции в их отраслевом рынке является высокой</w:t>
      </w:r>
      <w:r w:rsidR="00416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(большое число конкурентов или от 4 до 8 конкурентов)</w:t>
      </w:r>
      <w:r w:rsidR="00ED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1/3 респондентов считают, что степень конкуренции в их отраслевом рынке является невысокой</w:t>
      </w:r>
      <w:r w:rsidR="00416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 1 до 3 конкурентов)</w:t>
      </w:r>
      <w:r w:rsidR="002C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351D" w:rsidRPr="002D683B" w:rsidRDefault="002C351D" w:rsidP="002C351D">
      <w:pPr>
        <w:widowControl w:val="0"/>
        <w:spacing w:after="0" w:line="240" w:lineRule="auto"/>
        <w:ind w:left="23" w:right="23" w:firstLine="544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Рис. 4</w:t>
      </w:r>
      <w:r w:rsidRPr="002D683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. Оценка субъектами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предпринимательской </w:t>
      </w:r>
      <w:r w:rsidR="00044E9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деятельности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степени</w:t>
      </w:r>
    </w:p>
    <w:p w:rsidR="002C351D" w:rsidRDefault="002C351D" w:rsidP="002C351D">
      <w:pPr>
        <w:widowControl w:val="0"/>
        <w:spacing w:after="0" w:line="240" w:lineRule="auto"/>
        <w:ind w:left="23" w:right="23" w:firstLine="544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к</w:t>
      </w:r>
      <w:r w:rsidRPr="002D683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онкурен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ции в своем отраслевом рынке</w:t>
      </w:r>
      <w:r w:rsidRPr="002D683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в Фурмановском муниципальном районе</w:t>
      </w:r>
    </w:p>
    <w:p w:rsidR="002C351D" w:rsidRDefault="002C351D" w:rsidP="001F75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4DA9" w:rsidRDefault="00CA3B1F" w:rsidP="001F753F">
      <w:pPr>
        <w:widowControl w:val="0"/>
        <w:spacing w:after="0" w:line="322" w:lineRule="exact"/>
        <w:ind w:left="20" w:right="20" w:firstLine="680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З</w:t>
      </w:r>
      <w:r w:rsidRPr="00CA3B1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а последние 3 года для</w:t>
      </w:r>
      <w:r w:rsidR="00964DA9" w:rsidRPr="00CA3B1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повышени</w:t>
      </w:r>
      <w:r w:rsidRPr="00CA3B1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я</w:t>
      </w:r>
      <w:r w:rsidR="00964DA9" w:rsidRPr="00CA3B1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конкурентоспособности продукции, работ, услуг, которые производит или предоставляет бизнес, </w:t>
      </w:r>
      <w:r w:rsidRPr="00CA3B1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респонденты предпринимали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меры</w:t>
      </w:r>
      <w:r w:rsidRPr="00CA3B1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:</w:t>
      </w:r>
    </w:p>
    <w:p w:rsidR="00CA3B1F" w:rsidRPr="007411AC" w:rsidRDefault="00CA3B1F" w:rsidP="007719B8">
      <w:pPr>
        <w:pStyle w:val="a9"/>
        <w:widowControl w:val="0"/>
        <w:numPr>
          <w:ilvl w:val="0"/>
          <w:numId w:val="20"/>
        </w:numPr>
        <w:spacing w:after="0" w:line="322" w:lineRule="exact"/>
        <w:ind w:left="0" w:right="20" w:firstLine="1060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Приобретение технического оборудования </w:t>
      </w:r>
      <w:r w:rsid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C36D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</w:t>
      </w:r>
      <w:r w:rsidR="00045B9A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8</w:t>
      </w:r>
      <w:r w:rsid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C36D2F" w:rsidRPr="007411AC" w:rsidRDefault="00C36D2F" w:rsidP="00C36D2F">
      <w:pPr>
        <w:pStyle w:val="a9"/>
        <w:widowControl w:val="0"/>
        <w:numPr>
          <w:ilvl w:val="0"/>
          <w:numId w:val="20"/>
        </w:numPr>
        <w:spacing w:after="0" w:line="322" w:lineRule="exact"/>
        <w:ind w:left="0" w:right="20" w:firstLine="1060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Обучение и переподготовка персонала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– 19%</w:t>
      </w:r>
    </w:p>
    <w:p w:rsidR="0021691E" w:rsidRPr="007411AC" w:rsidRDefault="0021691E" w:rsidP="0021691E">
      <w:pPr>
        <w:pStyle w:val="a9"/>
        <w:widowControl w:val="0"/>
        <w:numPr>
          <w:ilvl w:val="0"/>
          <w:numId w:val="20"/>
        </w:numPr>
        <w:spacing w:after="0" w:line="322" w:lineRule="exact"/>
        <w:ind w:left="0" w:right="20" w:firstLine="1060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Новые способы продвижения продукции (маркетинговые стратегии)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– 16%</w:t>
      </w:r>
    </w:p>
    <w:p w:rsidR="007719B8" w:rsidRPr="007411AC" w:rsidRDefault="007719B8" w:rsidP="007719B8">
      <w:pPr>
        <w:pStyle w:val="a9"/>
        <w:widowControl w:val="0"/>
        <w:numPr>
          <w:ilvl w:val="0"/>
          <w:numId w:val="20"/>
        </w:numPr>
        <w:spacing w:after="0" w:line="322" w:lineRule="exact"/>
        <w:ind w:left="0" w:right="20" w:firstLine="1060"/>
        <w:jc w:val="both"/>
        <w:rPr>
          <w:rFonts w:ascii="Times New Roman" w:eastAsia="Times New Roman" w:hAnsi="Times New Roman"/>
          <w:color w:val="000000"/>
          <w:sz w:val="52"/>
          <w:szCs w:val="28"/>
          <w:lang w:eastAsia="ru-RU"/>
        </w:rPr>
      </w:pPr>
      <w:r w:rsidRP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Разработка новых модификаций и форм производимой продукции, расширение ассортимента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C36D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13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7719B8" w:rsidRPr="007411AC" w:rsidRDefault="007719B8" w:rsidP="007719B8">
      <w:pPr>
        <w:pStyle w:val="a9"/>
        <w:widowControl w:val="0"/>
        <w:numPr>
          <w:ilvl w:val="0"/>
          <w:numId w:val="20"/>
        </w:numPr>
        <w:spacing w:after="0" w:line="322" w:lineRule="exact"/>
        <w:ind w:left="0" w:right="20" w:firstLine="1060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7411A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Развитие и расширение системы представительств (торговой сети, сети филиалов и проч.)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– </w:t>
      </w:r>
      <w:r w:rsidR="00C36D2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%</w:t>
      </w:r>
    </w:p>
    <w:p w:rsidR="00964DA9" w:rsidRDefault="00964DA9" w:rsidP="001F75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Pr="00C3513D" w:rsidRDefault="001F753F" w:rsidP="001F75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мониторинга получены следующие оценки субъектами предпринимательской деятельности наличия (отсутствия) административных барьеров (таблица 1).</w:t>
      </w:r>
    </w:p>
    <w:p w:rsidR="00CB3B37" w:rsidRPr="00F45366" w:rsidRDefault="00CB3B37" w:rsidP="00CB3B37">
      <w:pPr>
        <w:widowControl w:val="0"/>
        <w:tabs>
          <w:tab w:val="left" w:leader="underscore" w:pos="2510"/>
        </w:tabs>
        <w:spacing w:after="0" w:line="274" w:lineRule="exact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  <w:t>Таблица 1</w:t>
      </w:r>
    </w:p>
    <w:p w:rsidR="00F85D75" w:rsidRDefault="00F85D75" w:rsidP="00044E91">
      <w:pPr>
        <w:widowControl w:val="0"/>
        <w:tabs>
          <w:tab w:val="left" w:leader="underscore" w:pos="2510"/>
        </w:tabs>
        <w:spacing w:after="0" w:line="274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Наиболее существенные административные барьеры для ведения текущей</w:t>
      </w:r>
      <w:r w:rsidR="00D83227" w:rsidRPr="00F45366"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 xml:space="preserve"> </w:t>
      </w:r>
      <w:r w:rsidRPr="00F45366"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деятельно</w:t>
      </w:r>
      <w:r w:rsidR="00044E91"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сти или открытия нового бизнеса</w:t>
      </w:r>
    </w:p>
    <w:p w:rsidR="006D2181" w:rsidRPr="00044E91" w:rsidRDefault="006D2181" w:rsidP="00044E91">
      <w:pPr>
        <w:widowControl w:val="0"/>
        <w:tabs>
          <w:tab w:val="left" w:leader="underscore" w:pos="2510"/>
        </w:tabs>
        <w:spacing w:after="0" w:line="274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</w:p>
    <w:tbl>
      <w:tblPr>
        <w:tblOverlap w:val="never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4"/>
        <w:gridCol w:w="1909"/>
      </w:tblGrid>
      <w:tr w:rsidR="00F85D75" w:rsidRPr="00C250B3" w:rsidTr="008D7FDC">
        <w:trPr>
          <w:trHeight w:val="602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F85D75" w:rsidRPr="00C3513D" w:rsidRDefault="00F85D75" w:rsidP="004E73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3513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Административные барьеры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F85D75" w:rsidRPr="00C3513D" w:rsidRDefault="00F85D75" w:rsidP="008D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3513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Доля</w:t>
            </w:r>
            <w:r w:rsidR="008D7FD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3513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респондентов,</w:t>
            </w:r>
            <w:r w:rsidR="008D7FD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3513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C82B3A" w:rsidRPr="00C250B3" w:rsidTr="0023675A">
        <w:trPr>
          <w:trHeight w:val="397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C82B3A" w:rsidRPr="005016AA" w:rsidRDefault="00C82B3A" w:rsidP="0023675A">
            <w:pPr>
              <w:widowControl w:val="0"/>
              <w:spacing w:after="0" w:line="312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Высокие налоги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8B129F" w:rsidRPr="005016AA" w:rsidRDefault="00C46669" w:rsidP="008B129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61</w:t>
            </w:r>
          </w:p>
        </w:tc>
      </w:tr>
      <w:tr w:rsidR="00DF45E3" w:rsidRPr="00C250B3" w:rsidTr="008D7FDC">
        <w:trPr>
          <w:trHeight w:val="413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DF45E3" w:rsidRPr="005016AA" w:rsidRDefault="00DF45E3" w:rsidP="0063129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F45E3" w:rsidRPr="005016AA" w:rsidRDefault="00DF45E3" w:rsidP="0063129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</w:tr>
      <w:tr w:rsidR="00DF45E3" w:rsidRPr="00C250B3" w:rsidTr="008D7FDC">
        <w:trPr>
          <w:trHeight w:val="413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DF45E3" w:rsidRPr="005016AA" w:rsidRDefault="00DF45E3" w:rsidP="004E73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Нет ограничений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F45E3" w:rsidRPr="005016AA" w:rsidRDefault="00DF45E3" w:rsidP="00DF45E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016A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DF45E3" w:rsidRPr="00C250B3" w:rsidTr="0023675A">
        <w:trPr>
          <w:trHeight w:val="396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DF45E3" w:rsidRPr="005016AA" w:rsidRDefault="00DF45E3" w:rsidP="0023675A">
            <w:pPr>
              <w:widowControl w:val="0"/>
              <w:spacing w:after="0" w:line="312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Сложность/затянутость процедуры получений лицензий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F45E3" w:rsidRPr="005016AA" w:rsidRDefault="00CD6F7C" w:rsidP="0023675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  <w:tr w:rsidR="00DF45E3" w:rsidRPr="008B129F" w:rsidTr="008D7FDC">
        <w:trPr>
          <w:trHeight w:val="635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DF45E3" w:rsidRPr="005016AA" w:rsidRDefault="00DF45E3" w:rsidP="00631298">
            <w:pPr>
              <w:widowControl w:val="0"/>
              <w:spacing w:after="0" w:line="312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16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Сложность получения доступа к земельным участкам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F45E3" w:rsidRPr="005016AA" w:rsidRDefault="00CD6F7C" w:rsidP="0063129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DF45E3" w:rsidRPr="00C250B3" w:rsidTr="008D7FDC">
        <w:trPr>
          <w:trHeight w:val="403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DF45E3" w:rsidRPr="005016AA" w:rsidRDefault="00DF45E3" w:rsidP="004E738E">
            <w:pPr>
              <w:widowControl w:val="0"/>
              <w:spacing w:after="0" w:line="312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6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F45E3" w:rsidRPr="005016AA" w:rsidRDefault="00DF45E3" w:rsidP="004E73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DF45E3" w:rsidRPr="00C250B3" w:rsidTr="00650359">
        <w:trPr>
          <w:trHeight w:val="403"/>
          <w:jc w:val="center"/>
        </w:trPr>
        <w:tc>
          <w:tcPr>
            <w:tcW w:w="7724" w:type="dxa"/>
            <w:shd w:val="clear" w:color="auto" w:fill="FFFFFF"/>
            <w:vAlign w:val="center"/>
          </w:tcPr>
          <w:p w:rsidR="00DF45E3" w:rsidRPr="005016AA" w:rsidRDefault="00DF45E3" w:rsidP="00631298">
            <w:pPr>
              <w:widowControl w:val="0"/>
              <w:spacing w:after="0" w:line="312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F45E3" w:rsidRPr="005016AA" w:rsidRDefault="00DF45E3" w:rsidP="0063129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8D7FDC" w:rsidRDefault="008D7FDC" w:rsidP="00D5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170" w:rsidRDefault="001F753F" w:rsidP="00211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представленных данных можно сделать вывод, что большинство респондентов</w:t>
      </w:r>
      <w:r w:rsidR="0006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="0006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  <w:r w:rsidR="00380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отмечают </w:t>
      </w:r>
      <w:r w:rsidR="00380953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ограничений ведения предпринимательс</w:t>
      </w:r>
      <w:r w:rsidR="00380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деятельности высокие налоги. С</w:t>
      </w:r>
      <w:r w:rsidR="00991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ограничениями в ведении своей предпринимательской деятельности </w:t>
      </w:r>
      <w:r w:rsidR="00501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6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</w:t>
      </w:r>
      <w:r w:rsidR="00501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06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встречались. </w:t>
      </w:r>
      <w:r w:rsidR="00991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п</w:t>
      </w:r>
      <w:r w:rsidR="0069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r w:rsidR="0066273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прежнему </w:t>
      </w: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отмечают </w:t>
      </w:r>
      <w:r w:rsidR="000604DC" w:rsidRPr="000604D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сложность/затянутость процедуры получений лицензий</w:t>
      </w:r>
      <w:r w:rsidR="0006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</w:t>
      </w: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естабильность российского законодательства, регулирующего п</w:t>
      </w:r>
      <w:r w:rsidR="0006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редпринимательскую деятельность.</w:t>
      </w:r>
    </w:p>
    <w:p w:rsidR="000D4358" w:rsidRPr="00C3513D" w:rsidRDefault="000D4358" w:rsidP="00211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90C" w:rsidRDefault="00C3513D" w:rsidP="00D55A97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респондентов – </w:t>
      </w:r>
      <w:r w:rsidR="00447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="00C3290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отмечают, что а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дминистративных барьеров</w:t>
      </w:r>
      <w:r w:rsidR="00C3290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</w:t>
      </w:r>
      <w:r w:rsidR="00447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</w:t>
      </w:r>
      <w:r w:rsidR="00E62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66273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C3290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респондентов </w:t>
      </w:r>
      <w:r w:rsidR="0066273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считают, что административные барьеры есть, но они прео</w:t>
      </w: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долимы без существенных затрат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 наличии </w:t>
      </w:r>
      <w:r w:rsidR="00C3290C" w:rsidRP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барьер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C3290C" w:rsidRP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преодолимы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лишь</w:t>
      </w:r>
      <w:r w:rsidR="00C3290C" w:rsidRP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осуществлении значительных затрат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отмечают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47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респондентов</w:t>
      </w:r>
      <w:r w:rsidR="006B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существовании непреодолимых барьеров – 6%, </w:t>
      </w:r>
      <w:r w:rsidR="00E62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затруднились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ответить</w:t>
      </w:r>
      <w:r w:rsidR="00E62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827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22%</w:t>
      </w:r>
      <w:r w:rsid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753F" w:rsidRDefault="00C3290C" w:rsidP="00D55A97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6273C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последних 3 лет бизнесу стало проще преодолевать административные</w:t>
      </w:r>
      <w:r w:rsidR="00C3513D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барьеры</w:t>
      </w: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чем раньше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административные барьеры были полностью устранены</w:t>
      </w: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(так считает большинство опрошенных</w:t>
      </w:r>
      <w:r w:rsidR="007D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3</w:t>
      </w:r>
      <w:r w:rsidR="00447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7D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3290C" w:rsidRDefault="00C3290C" w:rsidP="00D55A97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C32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дискриминацией (неравным доступом, ущемлением прав)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сталкивались </w:t>
      </w:r>
      <w:r w:rsidR="00F41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опрошенных (</w:t>
      </w:r>
      <w:r w:rsidR="00F41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E2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3E2350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E2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0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ценовая дискриминация</w:t>
      </w:r>
      <w:r w:rsidR="003E2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3% </w:t>
      </w:r>
      <w:r w:rsidR="003E2350" w:rsidRPr="00C35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4C646D" w:rsidRPr="004C646D">
        <w:t xml:space="preserve"> </w:t>
      </w:r>
      <w:r w:rsidR="003E2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C646D" w:rsidRPr="004C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</w:r>
      <w:r w:rsidR="003E2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3166" w:rsidRDefault="00893166" w:rsidP="00D55A97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респондентов </w:t>
      </w:r>
      <w:r w:rsidRPr="00893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охарактеризовали деятельность органов власти на основном для бизнеса рынке, который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представляют как удовлетворительную или скорее удовлетворительную (</w:t>
      </w:r>
      <w:r w:rsidR="000D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C70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  <w:r w:rsidRPr="00893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6272" w:rsidRDefault="003B6272" w:rsidP="003B6272">
      <w:pPr>
        <w:widowControl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Pr="003B6272" w:rsidRDefault="001F753F" w:rsidP="00585931">
      <w:pPr>
        <w:keepNext/>
        <w:keepLines/>
        <w:widowControl w:val="0"/>
        <w:spacing w:after="0" w:line="240" w:lineRule="auto"/>
        <w:ind w:left="23" w:right="23" w:firstLine="686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5F1D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Pr="003B62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удовлетворенности потребителей качеством товаров, работ и услуг на товарных рынках </w:t>
      </w:r>
      <w:r w:rsidR="003B62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Фурмановского муниципального района</w:t>
      </w:r>
      <w:r w:rsidRPr="003B62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состоянием ценовой конкуренции.</w:t>
      </w:r>
      <w:bookmarkEnd w:id="0"/>
    </w:p>
    <w:p w:rsidR="00D900CD" w:rsidRDefault="00D900CD" w:rsidP="00585931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Pr="003B6272" w:rsidRDefault="001F753F" w:rsidP="00585931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социологической части мониторинга </w:t>
      </w:r>
      <w:r w:rsidR="005F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удовлетворенности потребителей качеством товаров, работ и услуг на товарных рынках </w:t>
      </w:r>
      <w:r w:rsid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</w:t>
      </w:r>
      <w:r w:rsidR="005F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</w:t>
      </w:r>
      <w:r w:rsidR="005F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5F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анкетирование с общей выборкой в </w:t>
      </w:r>
      <w:r w:rsidR="000B4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="00566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</w:t>
      </w:r>
      <w:r w:rsidR="00743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753F" w:rsidRDefault="001F753F" w:rsidP="00B34B7C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анкетировании приняло участие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</w:t>
      </w:r>
      <w:r w:rsidR="00C039C0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женщин и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мужчин от общего числа респондентов.</w:t>
      </w:r>
      <w:r w:rsidR="00B34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респондентов </w:t>
      </w:r>
      <w:r w:rsidR="00AD7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B4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F8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принадлежат к возрастной группе </w:t>
      </w:r>
      <w:r w:rsidR="00ED5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35 до 44 лет</w:t>
      </w:r>
      <w:r w:rsidR="00F8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</w:t>
      </w:r>
      <w:r w:rsidR="00F8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возрасте</w:t>
      </w:r>
      <w:r w:rsidR="00ED5429" w:rsidRPr="00ED5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5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45 до 54 лет</w:t>
      </w:r>
      <w:r w:rsidR="00F8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72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72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– от 55 до 64 лет,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8% – </w:t>
      </w:r>
      <w:r w:rsidR="00D50814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 </w:t>
      </w:r>
      <w:r w:rsidR="00D50814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 лет, 5</w:t>
      </w:r>
      <w:r w:rsidR="006F1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F87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до 2</w:t>
      </w:r>
      <w:r w:rsidR="00C25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лет</w:t>
      </w:r>
      <w:r w:rsidR="00D50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19EC" w:rsidRDefault="006F19EC" w:rsidP="00585931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CC19136" wp14:editId="38ECA859">
            <wp:extent cx="5486400" cy="280416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09BD" w:rsidRDefault="008E7D22" w:rsidP="00E109BD">
      <w:pPr>
        <w:widowControl w:val="0"/>
        <w:spacing w:after="0" w:line="240" w:lineRule="auto"/>
        <w:ind w:left="23" w:right="23" w:firstLine="544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Рис. 5</w:t>
      </w:r>
      <w:r w:rsidR="00E109BD" w:rsidRPr="002D683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. </w:t>
      </w:r>
      <w:r w:rsidR="00E109BD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Характеристика респондентов</w:t>
      </w:r>
      <w:r w:rsidR="00AD7519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-потребителей</w:t>
      </w:r>
      <w:r w:rsidR="00E109BD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по полу и возрасту.</w:t>
      </w:r>
    </w:p>
    <w:p w:rsidR="00E109BD" w:rsidRPr="003B6272" w:rsidRDefault="00E109BD" w:rsidP="00E109BD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0357" w:rsidRPr="003B6272" w:rsidRDefault="001F753F" w:rsidP="00030357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социальному статусу </w:t>
      </w:r>
      <w:r w:rsidR="00030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</w:t>
      </w:r>
      <w:r w:rsidR="004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</w:t>
      </w:r>
      <w:r w:rsidR="004A3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 работают</w:t>
      </w:r>
      <w:r w:rsidR="00030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20F2" w:rsidRDefault="00E820F2" w:rsidP="00E820F2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 опрош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енных имеют высшее образование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магистратура) –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высшее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имеют </w:t>
      </w:r>
      <w:r w:rsidR="00D6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5% респондентов, среднее общее образование – 2%.</w:t>
      </w:r>
    </w:p>
    <w:p w:rsidR="001F753F" w:rsidRPr="003B6272" w:rsidRDefault="00E25652" w:rsidP="00585931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44% </w:t>
      </w:r>
      <w:r w:rsidR="001F753F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респондентов имеют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</w:t>
      </w:r>
      <w:r w:rsidR="00C25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F753F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 детей</w:t>
      </w:r>
      <w:r w:rsidR="001F753F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2% – 3 и более детей, </w:t>
      </w:r>
      <w:r w:rsidR="001F753F" w:rsidRPr="003B6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C73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детей нет.</w:t>
      </w:r>
    </w:p>
    <w:p w:rsidR="00C250B3" w:rsidRDefault="00C250B3" w:rsidP="00585931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среднемесячному доходу в расчете на одного члена семьи респонденты расп</w:t>
      </w:r>
      <w:r w:rsidR="0030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ределились следующим образом: </w:t>
      </w:r>
      <w:r w:rsidR="0067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среднемесячный д</w:t>
      </w:r>
      <w:r w:rsidR="0030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оход </w:t>
      </w:r>
      <w:r w:rsidR="0067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10 тыс. рублей, 33% – </w:t>
      </w:r>
      <w:r w:rsidR="0030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10 до 20 тыс. рублей, </w:t>
      </w:r>
      <w:r w:rsidR="0067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 w:rsidR="000B2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– от 20 до 30 тыс. рублей, </w:t>
      </w:r>
      <w:r w:rsidR="0067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73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0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– от 30 до 45 тыс. рублей, </w:t>
      </w:r>
      <w:r w:rsidR="0067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30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– от 45 до 60 тыс. рублей</w:t>
      </w:r>
      <w:r w:rsidR="000B2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4A72" w:rsidRPr="003B6272" w:rsidRDefault="002D1BA6" w:rsidP="00585931">
      <w:pPr>
        <w:widowControl w:val="0"/>
        <w:spacing w:after="0" w:line="240" w:lineRule="auto"/>
        <w:ind w:left="23" w:right="23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</w:t>
      </w:r>
      <w:r w:rsidR="006E4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респондентов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(6</w:t>
      </w:r>
      <w:r w:rsidR="00887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</w:t>
      </w:r>
      <w:r w:rsidR="006E4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оценили свое материальное положение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утверждением «</w:t>
      </w:r>
      <w:r w:rsidR="006E4A72" w:rsidRPr="006E4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 хватает денег на еду и одежду, но для покупки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техники</w:t>
      </w:r>
      <w:r w:rsidR="006E4A72" w:rsidRPr="006E4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 пришлось бы копить или брать в долг/кредит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A384D" w:rsidRDefault="009A384D" w:rsidP="00A95DE1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5DE1" w:rsidRPr="00F8213D" w:rsidRDefault="00A95DE1" w:rsidP="00AA4632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Фурмановского муниципального района </w:t>
      </w:r>
      <w:r w:rsidRPr="007964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нет совсем</w:t>
      </w:r>
      <w:r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следующих рынков, поэтому их дальнейшая оценка по другим показателям не является целесообразной:</w:t>
      </w:r>
    </w:p>
    <w:p w:rsidR="00A95DE1" w:rsidRPr="00F8213D" w:rsidRDefault="002C0679" w:rsidP="00AA4632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«вылова водных биоресурсов»</w:t>
      </w:r>
      <w:r w:rsidR="00A95DE1"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5DE1" w:rsidRPr="00F8213D" w:rsidRDefault="002C0679" w:rsidP="00AA4632">
      <w:pPr>
        <w:widowControl w:val="0"/>
        <w:numPr>
          <w:ilvl w:val="0"/>
          <w:numId w:val="3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«товарной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аквакультуры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95DE1"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5DE1" w:rsidRPr="00F8213D" w:rsidRDefault="00A95DE1" w:rsidP="00AA4632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«перер</w:t>
      </w:r>
      <w:r w:rsidR="002C0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аботки водных биоресурсов»</w:t>
      </w:r>
      <w:r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5DE1" w:rsidRPr="00F8213D" w:rsidRDefault="002C0679" w:rsidP="00AA4632">
      <w:pPr>
        <w:widowControl w:val="0"/>
        <w:numPr>
          <w:ilvl w:val="0"/>
          <w:numId w:val="3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«семеноводства»</w:t>
      </w:r>
      <w:r w:rsidR="00A95DE1"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5DE1" w:rsidRPr="00F8213D" w:rsidRDefault="002C0679" w:rsidP="00AA4632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«племенного животноводства».</w:t>
      </w:r>
    </w:p>
    <w:p w:rsidR="00A95DE1" w:rsidRDefault="00A95DE1" w:rsidP="00AA463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Pr="00F8213D" w:rsidRDefault="001F753F" w:rsidP="00AA463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респондентов </w:t>
      </w:r>
      <w:r w:rsidRPr="007964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меньше всего организаций</w:t>
      </w:r>
      <w:r w:rsidRPr="00F8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представляют следующие рынки:</w:t>
      </w:r>
    </w:p>
    <w:p w:rsidR="00AA4A2C" w:rsidRPr="00B722B3" w:rsidRDefault="00AA4A2C" w:rsidP="00AA4632">
      <w:pPr>
        <w:pStyle w:val="a9"/>
        <w:widowControl w:val="0"/>
        <w:numPr>
          <w:ilvl w:val="0"/>
          <w:numId w:val="3"/>
        </w:numPr>
        <w:tabs>
          <w:tab w:val="left" w:pos="196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722B3">
        <w:rPr>
          <w:rFonts w:ascii="Times New Roman" w:hAnsi="Times New Roman"/>
          <w:sz w:val="28"/>
          <w:szCs w:val="28"/>
        </w:rPr>
        <w:t>медицинских услуг</w:t>
      </w:r>
      <w:r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DF728D"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17004"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345D71" w:rsidRPr="00B722B3" w:rsidRDefault="00345D71" w:rsidP="00AA4632">
      <w:pPr>
        <w:pStyle w:val="a9"/>
        <w:widowControl w:val="0"/>
        <w:numPr>
          <w:ilvl w:val="0"/>
          <w:numId w:val="3"/>
        </w:numPr>
        <w:tabs>
          <w:tab w:val="left" w:pos="196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детского отдыха и оздоровления» - </w:t>
      </w:r>
      <w:r w:rsidR="00D17004"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</w:t>
      </w:r>
      <w:r w:rsidRPr="00B72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F943C5" w:rsidRPr="00D91873" w:rsidRDefault="00F943C5" w:rsidP="00AA4632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4F6" w:rsidRPr="00AA4632" w:rsidRDefault="001F753F" w:rsidP="00AA463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</w:t>
      </w:r>
      <w:r w:rsidR="004137CA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время</w:t>
      </w:r>
      <w:r w:rsidR="00E924F6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24F6" w:rsidRPr="00AA46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достаточным количеством организаций</w:t>
      </w:r>
      <w:r w:rsidR="00E924F6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представлены следующие рынки:</w:t>
      </w:r>
    </w:p>
    <w:p w:rsidR="00345D71" w:rsidRPr="00AA4632" w:rsidRDefault="00345D71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«услуг розничной торговли лекарственными препаратами, медицинскими изделиями и сопутствующими товарами» - 80%;</w:t>
      </w:r>
    </w:p>
    <w:p w:rsidR="00345D71" w:rsidRPr="00AA4632" w:rsidRDefault="00345D71" w:rsidP="00AA4632">
      <w:pPr>
        <w:widowControl w:val="0"/>
        <w:numPr>
          <w:ilvl w:val="0"/>
          <w:numId w:val="4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«оказания услуг по перевозке пассажиров автомобильным транспортом по муниципальным маршрутам регулярных перевозок» - </w:t>
      </w:r>
      <w:r w:rsidR="00400F2D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дошкольного образования» - 69%; </w:t>
      </w:r>
    </w:p>
    <w:p w:rsidR="00345D71" w:rsidRPr="00AA4632" w:rsidRDefault="00345D71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«оказания услуг по перевозке пассажиров автомобильным транспортом по межмуниципальным маршрутам регулярных перевозок» - </w:t>
      </w:r>
      <w:r w:rsidR="00400F2D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«оказания услуг по перевозке пассажиров и багажа легковым такси на территории субъекта Российской Федерации» - 61%;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«выполнения работ по благоустройству городской среды» - 59%;</w:t>
      </w:r>
    </w:p>
    <w:p w:rsidR="00345D71" w:rsidRPr="00AA4632" w:rsidRDefault="00345D71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«теплоснабжения (производство тепловой энергии)» - </w:t>
      </w:r>
      <w:r w:rsidR="00D1700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%; 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«легкой промышленности» - 56%;</w:t>
      </w:r>
    </w:p>
    <w:p w:rsidR="00696E52" w:rsidRPr="00AA4632" w:rsidRDefault="00345D71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«ремонта автотранспортных средств» - 5</w:t>
      </w:r>
      <w:r w:rsidR="00B722B3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981D38" w:rsidRPr="00AA4632" w:rsidRDefault="00981D38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«купли – продажи электрической энергии (мощности) на розничном рынке электрической энергии (мощности)» - </w:t>
      </w:r>
      <w:r w:rsidR="0057332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1700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связи» - 53%;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«сфера наружной рекламы» - 51%;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дополнительного образования детей» - 49%;</w:t>
      </w:r>
    </w:p>
    <w:p w:rsidR="00D17004" w:rsidRPr="00AA4632" w:rsidRDefault="00D17004" w:rsidP="00AA4632">
      <w:pPr>
        <w:widowControl w:val="0"/>
        <w:numPr>
          <w:ilvl w:val="0"/>
          <w:numId w:val="4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когенерации</w:t>
      </w:r>
      <w:proofErr w:type="spellEnd"/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 - 44%;</w:t>
      </w:r>
    </w:p>
    <w:p w:rsidR="005C1182" w:rsidRPr="00AA4632" w:rsidRDefault="00AE5322" w:rsidP="00AA4632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«социальных услуг» - </w:t>
      </w:r>
      <w:r w:rsidR="00CC5FBF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1700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A4632" w:rsidRPr="00D17004" w:rsidRDefault="00AA4632" w:rsidP="00AA4632">
      <w:pPr>
        <w:pStyle w:val="a9"/>
        <w:widowControl w:val="0"/>
        <w:tabs>
          <w:tab w:val="left" w:pos="993"/>
        </w:tabs>
        <w:spacing w:after="0" w:line="240" w:lineRule="auto"/>
        <w:ind w:left="709" w:right="20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B84F99" w:rsidRPr="00AA4632" w:rsidRDefault="001F753F" w:rsidP="00AA4632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Сложная ситуация сложилась на </w:t>
      </w:r>
      <w:proofErr w:type="gramStart"/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</w:t>
      </w:r>
      <w:r w:rsidR="00B84F99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proofErr w:type="gramEnd"/>
      <w:r w:rsidR="00B84F99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</w:t>
      </w:r>
      <w:r w:rsidR="00F8213D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84F99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большинстве</w:t>
      </w:r>
      <w:r w:rsidR="00F8213D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84F99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респонденты затруднились ответить: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кирпича» - 51%;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бетона» - 50%;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«добычи общераспространённых полезных ископаемых на участках недр местного значения» - 48%;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«архитектурно-строительного проектирования» - 44%;</w:t>
      </w:r>
    </w:p>
    <w:p w:rsidR="00345D71" w:rsidRPr="00AA4632" w:rsidRDefault="00345D71" w:rsidP="00AA4632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«нефтепродуктов» - </w:t>
      </w:r>
      <w:r w:rsidR="00B722B3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345D71" w:rsidRPr="00AA4632" w:rsidRDefault="00345D71" w:rsidP="00AA4632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«обработки древесины и производства изделий из дерева» - </w:t>
      </w:r>
      <w:r w:rsidR="00B722B3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A4632" w:rsidRPr="00AA4632" w:rsidRDefault="00AA4632" w:rsidP="00AA4632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«дорожной деятельности (за исключением проектирования)» - 36%;</w:t>
      </w:r>
    </w:p>
    <w:p w:rsidR="00830BAE" w:rsidRPr="00D91873" w:rsidRDefault="00830BAE" w:rsidP="00585931">
      <w:pPr>
        <w:widowControl w:val="0"/>
        <w:tabs>
          <w:tab w:val="left" w:pos="1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182" w:rsidRPr="00AA4632" w:rsidRDefault="003707D8" w:rsidP="00AA4632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Спорная ситуация</w:t>
      </w:r>
      <w:r w:rsidR="005C118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респонденты не смогли прийти к однозначному выводу, сложилась на следующих </w:t>
      </w:r>
      <w:proofErr w:type="gramStart"/>
      <w:r w:rsidR="005C118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рынках</w:t>
      </w:r>
      <w:proofErr w:type="gramEnd"/>
      <w:r w:rsidR="005C118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C6882" w:rsidRPr="00AA4632" w:rsidRDefault="005C6882" w:rsidP="00AA4632">
      <w:pPr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«строительства объектов капитального строительства, за исключением жилищного и дорожного строительства» - 25% респондентов затруднились ответить</w:t>
      </w:r>
      <w:r w:rsidR="0054183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44% респондента ответили, что их нет совсем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F5408" w:rsidRPr="00AA4632" w:rsidRDefault="004F5408" w:rsidP="00AA463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среднего профессионального образования» - 43% респондентов считают, что данных организаций достаточно, но в то же время 44% считают, что таких организаций мало;</w:t>
      </w:r>
    </w:p>
    <w:p w:rsidR="00554EF4" w:rsidRPr="00AA4632" w:rsidRDefault="00554EF4" w:rsidP="00AA4632">
      <w:pPr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«жилищного строительства» - 13% </w:t>
      </w:r>
      <w:r w:rsidR="005C688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респондентов считают, что данных организаций достаточно, а 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56% респон</w:t>
      </w:r>
      <w:r w:rsidR="005C688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дентов ответили, что их нет совсем</w:t>
      </w:r>
      <w:r w:rsidR="00AA463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7DB9" w:rsidRPr="00AA4632" w:rsidRDefault="00A27DB9" w:rsidP="00AA463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«услуг по сбору и транспортированию ТКО» - </w:t>
      </w:r>
      <w:r w:rsidR="00D1700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респондентов считают, что данных организаций достаточно, но в то же время </w:t>
      </w:r>
      <w:r w:rsidR="00D17004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считают, что таких организаций мало</w:t>
      </w:r>
      <w:r w:rsidR="00AA4632"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3A13" w:rsidRDefault="00A43A13" w:rsidP="00514530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42A" w:rsidRDefault="00514530" w:rsidP="005A042A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потребителей </w:t>
      </w:r>
      <w:proofErr w:type="gramStart"/>
      <w:r w:rsidRPr="00437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437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скорее удовлетворены </w:t>
      </w:r>
      <w:r w:rsidRPr="007964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ассортиментом</w:t>
      </w:r>
      <w:r w:rsidRPr="00437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следующих товаров и услуг на рынках Фурмановского муниципального района:</w:t>
      </w:r>
    </w:p>
    <w:p w:rsidR="007B5FE1" w:rsidRPr="00025A82" w:rsidRDefault="007B5FE1" w:rsidP="007B5FE1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розничной торговли лекарственными препаратами, медицинскими изделиями и сопутс</w:t>
      </w:r>
      <w:r w:rsidR="00E179B0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твующими товарами» - </w:t>
      </w:r>
      <w:r w:rsidR="008D1BB7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</w:t>
      </w: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дошкольного образования» - 72%;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«оказания услуг по перевозке пассажиров автомобильным транспортом по муниципальным маршрутам регулярных перевозок» - 71%;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«оказания услуг по перевозке пассажиров автомобильным транспортом по межмуниципальным маршрутам регулярных перевозок» -  67%;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дополнительного образования детей» - 66%;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«выполнения работ по благоустройству городской среды» -  64%;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«теплоснабжения (производство тепловой энергии)» - 64%;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связи» - 62%;</w:t>
      </w:r>
    </w:p>
    <w:p w:rsidR="0068663C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«купли-продажи электрической энергии (мощности) на розничном рынке электрической энергии (мощности)» - 62%;</w:t>
      </w:r>
    </w:p>
    <w:p w:rsidR="0068663C" w:rsidRPr="00025A82" w:rsidRDefault="0068663C" w:rsidP="0068663C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«оказания услуг по перевозке пассажиров и багажа легковым такси на территории субъекта Российской Федерации» - </w:t>
      </w:r>
      <w:r w:rsidR="00110F21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%; 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когенерации</w:t>
      </w:r>
      <w:proofErr w:type="spellEnd"/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- 56%;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среднего профессионального образования» - 54%;</w:t>
      </w:r>
    </w:p>
    <w:p w:rsidR="0068663C" w:rsidRPr="00025A82" w:rsidRDefault="0068663C" w:rsidP="0068663C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«социальных услуг» - 5</w:t>
      </w:r>
      <w:r w:rsidR="008D1BB7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025A82" w:rsidRPr="00025A82" w:rsidRDefault="00025A82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«ремонта автотранспортных средств» - 53%;</w:t>
      </w:r>
    </w:p>
    <w:p w:rsidR="00371D7B" w:rsidRPr="00025A82" w:rsidRDefault="00CC2637" w:rsidP="00025A82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14530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легкой промышленности</w:t>
      </w:r>
      <w:r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179B0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371D7B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25A82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179B0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514530" w:rsidRPr="0002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D1BB7" w:rsidRPr="008D1BB7" w:rsidRDefault="008D1BB7" w:rsidP="008D1BB7">
      <w:pPr>
        <w:pStyle w:val="a9"/>
        <w:widowControl w:val="0"/>
        <w:tabs>
          <w:tab w:val="left" w:pos="19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530" w:rsidRPr="0068663C" w:rsidRDefault="00514530" w:rsidP="00514530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потребителей скорее не </w:t>
      </w:r>
      <w:proofErr w:type="gramStart"/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удовлетворены </w:t>
      </w:r>
      <w:r w:rsidR="007964D1" w:rsidRPr="006866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ассортиментом</w:t>
      </w: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товаров и услуг на рынках Фурмановского муниципального района:</w:t>
      </w:r>
    </w:p>
    <w:p w:rsidR="00BC116A" w:rsidRPr="00F81EED" w:rsidRDefault="00CC2637" w:rsidP="00BC116A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32D10"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медицинских услуг</w:t>
      </w:r>
      <w:r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179B0"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8D1BB7"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 w:rsidR="00E179B0"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514530"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8663C" w:rsidRPr="00F81EED" w:rsidRDefault="0068663C" w:rsidP="0068663C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«детского отдыха и оздоровления» - 5</w:t>
      </w:r>
      <w:r w:rsidR="008D1BB7"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8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514530" w:rsidRPr="0068663C" w:rsidRDefault="00514530" w:rsidP="00514530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530" w:rsidRPr="0068663C" w:rsidRDefault="00065B60" w:rsidP="00514530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Затруднились ответить р</w:t>
      </w:r>
      <w:r w:rsidR="00514530"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еспондент</w:t>
      </w: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14530"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следующих </w:t>
      </w:r>
      <w:proofErr w:type="gramStart"/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рынках</w:t>
      </w:r>
      <w:proofErr w:type="gramEnd"/>
      <w:r w:rsidR="00514530"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81EED" w:rsidRPr="005556B8" w:rsidRDefault="00F81EED" w:rsidP="00F81EED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кирпича» - 80%;</w:t>
      </w:r>
    </w:p>
    <w:p w:rsidR="00F81EED" w:rsidRPr="005556B8" w:rsidRDefault="00F81EED" w:rsidP="00F81EED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бетона» - 77%;</w:t>
      </w:r>
    </w:p>
    <w:p w:rsidR="00F81EED" w:rsidRPr="005556B8" w:rsidRDefault="00F81EED" w:rsidP="00F81EED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«нефтепродуктов» - 69%;</w:t>
      </w:r>
    </w:p>
    <w:p w:rsidR="005556B8" w:rsidRPr="005556B8" w:rsidRDefault="005556B8" w:rsidP="005556B8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«архитектурно-строительного проектирования» - 66%; </w:t>
      </w:r>
    </w:p>
    <w:p w:rsidR="005556B8" w:rsidRPr="005556B8" w:rsidRDefault="005556B8" w:rsidP="005556B8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«добычи общераспространённых полезных ископаемых на участках недр местного значения» - 64%;</w:t>
      </w:r>
    </w:p>
    <w:p w:rsidR="005556B8" w:rsidRPr="005556B8" w:rsidRDefault="005556B8" w:rsidP="005556B8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«обработки древесины и производства изделий из дерева» - 62%;</w:t>
      </w:r>
    </w:p>
    <w:p w:rsidR="005556B8" w:rsidRPr="005556B8" w:rsidRDefault="005556B8" w:rsidP="005556B8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«сферы наружной рекламы» - 53%;</w:t>
      </w:r>
    </w:p>
    <w:p w:rsidR="005556B8" w:rsidRPr="005556B8" w:rsidRDefault="005556B8" w:rsidP="005556B8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«строительства объектов капитального строительства, за исключением жилищного и дорожного строительства» - 49%; </w:t>
      </w:r>
    </w:p>
    <w:p w:rsidR="005556B8" w:rsidRPr="005556B8" w:rsidRDefault="005556B8" w:rsidP="005556B8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«дорожной деятельности (за исключением проектирования)» - 49%;</w:t>
      </w:r>
    </w:p>
    <w:p w:rsidR="00110F21" w:rsidRPr="005556B8" w:rsidRDefault="00110F21" w:rsidP="005556B8">
      <w:pPr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«жилищного строительства» - 43%;</w:t>
      </w:r>
    </w:p>
    <w:p w:rsidR="00110F21" w:rsidRDefault="005556B8" w:rsidP="005556B8">
      <w:pPr>
        <w:pStyle w:val="a9"/>
        <w:widowControl w:val="0"/>
        <w:tabs>
          <w:tab w:val="left" w:pos="19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21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110F21" w:rsidRPr="00AA4632" w:rsidRDefault="00110F21" w:rsidP="00110F21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Спорная ситуация, где респонденты не смогли прийти к однозначному выводу, сложилась на следующих </w:t>
      </w:r>
      <w:proofErr w:type="gramStart"/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рынках</w:t>
      </w:r>
      <w:proofErr w:type="gramEnd"/>
      <w:r w:rsidRPr="00AA46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D1BB7" w:rsidRPr="0068663C" w:rsidRDefault="008D1BB7" w:rsidP="008D1BB7">
      <w:pPr>
        <w:pStyle w:val="a9"/>
        <w:widowControl w:val="0"/>
        <w:numPr>
          <w:ilvl w:val="0"/>
          <w:numId w:val="15"/>
        </w:numPr>
        <w:tabs>
          <w:tab w:val="left" w:pos="196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по сбору и транспортированию ТКО»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</w:t>
      </w: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скорее удовлетворены, и 39% не</w:t>
      </w:r>
      <w:r w:rsidR="00110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 или скорее не</w:t>
      </w:r>
      <w:r w:rsidR="00110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</w:t>
      </w:r>
      <w:r w:rsidRPr="00686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F6E0C" w:rsidRDefault="009F6E0C" w:rsidP="0082583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2636" w:rsidRPr="00EF2B18" w:rsidRDefault="00EF2B18" w:rsidP="00D55A97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2B18">
        <w:rPr>
          <w:rFonts w:ascii="Times New Roman" w:eastAsia="Times New Roman" w:hAnsi="Times New Roman"/>
          <w:sz w:val="28"/>
          <w:szCs w:val="28"/>
          <w:lang w:eastAsia="ru-RU"/>
        </w:rPr>
        <w:t>Согласно проведенному анкетированию</w:t>
      </w:r>
      <w:r w:rsidRPr="00E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54573" w:rsidRPr="00E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довлетворительным</w:t>
      </w:r>
      <w:proofErr w:type="gramEnd"/>
      <w:r w:rsidR="00D54573" w:rsidRPr="00E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</w:t>
      </w:r>
      <w:r w:rsidR="003041B3" w:rsidRPr="00E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корее удовлетворительным считают </w:t>
      </w:r>
      <w:r w:rsidR="003041B3" w:rsidRPr="007964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уровень цен</w:t>
      </w:r>
      <w:r w:rsidR="003041B3" w:rsidRPr="00E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товаров и услуг на рынках:</w:t>
      </w:r>
    </w:p>
    <w:p w:rsidR="00720F63" w:rsidRPr="00764DBB" w:rsidRDefault="00720F63" w:rsidP="00720F63">
      <w:pPr>
        <w:pStyle w:val="a9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«дополнительного образования детей» - </w:t>
      </w:r>
      <w:r w:rsidR="006A74BF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84685D" w:rsidRPr="00764DBB" w:rsidRDefault="0084685D" w:rsidP="0084685D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«оказания услуг по перевозке пассажиров автомобильным транспортом по муниципальным маршрутам регулярных перевозок» - 51%;</w:t>
      </w:r>
    </w:p>
    <w:p w:rsidR="00B4738E" w:rsidRPr="00764DBB" w:rsidRDefault="0084685D" w:rsidP="00D1549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«выполнения работ по благоустройству городской среды» - 49%;</w:t>
      </w:r>
      <w:r w:rsidR="00764DBB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738E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«легкой промышленности» - 4</w:t>
      </w:r>
      <w:r w:rsidR="00764DBB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4738E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%; </w:t>
      </w:r>
    </w:p>
    <w:p w:rsidR="0084685D" w:rsidRPr="00764DBB" w:rsidRDefault="0084685D" w:rsidP="0084685D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«купли – продажи электрической энергии (мощности) на розничном рынке электрической энергии (мощности)» - 49%;</w:t>
      </w:r>
    </w:p>
    <w:p w:rsidR="006E6BBC" w:rsidRPr="0084685D" w:rsidRDefault="0084685D" w:rsidP="0084685D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«оказания услуг по перевозке пассажиров автомобильным транспортом по межмуниципальным маршрутам регулярных перевозок» - 49%;</w:t>
      </w:r>
    </w:p>
    <w:p w:rsidR="0084685D" w:rsidRPr="00764DBB" w:rsidRDefault="0084685D" w:rsidP="0084685D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детского отдыха и оздоровления» - 47%; </w:t>
      </w:r>
    </w:p>
    <w:p w:rsidR="0084685D" w:rsidRPr="00764DBB" w:rsidRDefault="0084685D" w:rsidP="0084685D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«среднего профессионального образования» - 46%;</w:t>
      </w:r>
    </w:p>
    <w:p w:rsidR="00B4738E" w:rsidRPr="00764DBB" w:rsidRDefault="00B4738E" w:rsidP="00B4738E">
      <w:pPr>
        <w:pStyle w:val="a9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дошкольного образования» - </w:t>
      </w:r>
      <w:r w:rsidR="006A74BF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D1549E" w:rsidRPr="00764DBB" w:rsidRDefault="009B6F5B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«ремонта автотранспортных средств» - </w:t>
      </w:r>
      <w:r w:rsidR="00764DBB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="006A74BF" w:rsidRPr="00764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B041BD" w:rsidRDefault="00B041BD" w:rsidP="00EF2B18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sz w:val="28"/>
          <w:szCs w:val="28"/>
          <w:highlight w:val="red"/>
          <w:lang w:eastAsia="ru-RU"/>
        </w:rPr>
      </w:pPr>
    </w:p>
    <w:p w:rsidR="00EF2B18" w:rsidRPr="00EF2B18" w:rsidRDefault="00EF2B18" w:rsidP="00EF2B18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2B18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Неудовлетворительным</w:t>
      </w:r>
      <w:proofErr w:type="gramEnd"/>
      <w:r w:rsidRPr="00EF2B1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скорее неудовлетворительными </w:t>
      </w:r>
      <w:r w:rsidRPr="007964D1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цен</w:t>
      </w:r>
      <w:r w:rsidRPr="00EF2B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респонденты считают на следующих рынках: </w:t>
      </w:r>
    </w:p>
    <w:p w:rsidR="00B4738E" w:rsidRPr="002677B0" w:rsidRDefault="00B4738E" w:rsidP="00B4738E">
      <w:pPr>
        <w:pStyle w:val="a9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«медицинских услуг» - </w:t>
      </w:r>
      <w:r w:rsidR="006A74BF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%; </w:t>
      </w:r>
    </w:p>
    <w:p w:rsidR="00B4738E" w:rsidRPr="002677B0" w:rsidRDefault="00B4738E" w:rsidP="00B4738E">
      <w:pPr>
        <w:pStyle w:val="a9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«теплоснабжения (производство тепловой энергии)» - </w:t>
      </w:r>
      <w:r w:rsidR="009D18AF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6A74BF" w:rsidRPr="002677B0" w:rsidRDefault="006A74BF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розничной торговли лекарственными препаратами, медицинскими изделиями и сопутствующими товарами»</w:t>
      </w:r>
      <w:r w:rsidR="00A23267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- 47%;</w:t>
      </w:r>
    </w:p>
    <w:p w:rsidR="002E67DB" w:rsidRDefault="002E67DB" w:rsidP="002E67DB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8E7" w:rsidRDefault="002648E7" w:rsidP="002648E7">
      <w:pPr>
        <w:widowControl w:val="0"/>
        <w:tabs>
          <w:tab w:val="left" w:pos="1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Спорная ситуация, где респонденты не смогли прийти к однозначному выводу, сложилась на следующих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677B0" w:rsidRPr="002677B0" w:rsidRDefault="002677B0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связи» - 43% респондентов считают уровень цен скорее удовлетворительным или скорее удовлетворительным, при том 41% респондентов считают уровень цен скорее неудовлетворительным или неудовлетворительным; </w:t>
      </w:r>
    </w:p>
    <w:p w:rsidR="002677B0" w:rsidRPr="002677B0" w:rsidRDefault="002677B0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по сбору и транспортированию ТКО» - 39% респондентов считают уровень цен скорее удовлетворительным или скорее удовлетворительным, при том 36% респондентов считают уровень цен скорее неудовлетворительным или неудовлетворительным; </w:t>
      </w:r>
    </w:p>
    <w:p w:rsidR="002677B0" w:rsidRPr="002677B0" w:rsidRDefault="002677B0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«оказания услуг по перевозке пассажиров и багажа легковым такси на территории субъекта Российской Федерации» - 38% респондентов считают уровень цен скорее удовлетворительным или скорее удовлетворительным, при том 36% респондентов считают уровень цен скорее неудовлетворительным или неудовлетворительным; </w:t>
      </w:r>
    </w:p>
    <w:p w:rsidR="00A23267" w:rsidRPr="002677B0" w:rsidRDefault="00A23267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«социальных услуг» - 36% респондентов считают уровень цен скорее удовлетворительным или скорее удовлетворительным, при том 34% респондентов затруднились ответить; </w:t>
      </w:r>
    </w:p>
    <w:p w:rsidR="002648E7" w:rsidRDefault="002648E7" w:rsidP="002E67DB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7DB" w:rsidRPr="001239FC" w:rsidRDefault="002E67DB" w:rsidP="002E67DB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Затруднились ответить респонденты на следующих </w:t>
      </w:r>
      <w:proofErr w:type="gramStart"/>
      <w:r w:rsidRPr="00123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рынках</w:t>
      </w:r>
      <w:proofErr w:type="gramEnd"/>
      <w:r w:rsidRPr="00123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4738E" w:rsidRPr="002677B0" w:rsidRDefault="00B4738E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бетона» - 7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B4738E" w:rsidRPr="002677B0" w:rsidRDefault="00B4738E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кирпича» - 7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B4738E" w:rsidRPr="002677B0" w:rsidRDefault="00B4738E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«добычи общераспространённых полезных ископаемых на участках недр местного значения» - 6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B4738E" w:rsidRPr="002677B0" w:rsidRDefault="00B4738E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«сфера наружной рекламы» - 6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2677B0" w:rsidRPr="002677B0" w:rsidRDefault="002677B0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«нефтепродуктов» - 66%;</w:t>
      </w:r>
    </w:p>
    <w:p w:rsidR="00B4738E" w:rsidRPr="002677B0" w:rsidRDefault="00B4738E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«архитектурно – строительного проектирования» - 6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C6490C" w:rsidRPr="002677B0" w:rsidRDefault="00B4738E" w:rsidP="00B4738E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«обработки древесины и производства изделий из дерева» - 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%; </w:t>
      </w:r>
    </w:p>
    <w:p w:rsidR="00E465ED" w:rsidRPr="002677B0" w:rsidRDefault="00E465ED" w:rsidP="002B1A37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«дорожной деятельности (за исключением проектирования)» - </w:t>
      </w:r>
      <w:r w:rsidR="00764DBB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2677B0" w:rsidRPr="002677B0" w:rsidRDefault="002677B0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«строительства объектов капитального строительства, за исключением жилищного и дорожного строительства» - 54%;</w:t>
      </w:r>
    </w:p>
    <w:p w:rsidR="002677B0" w:rsidRPr="002677B0" w:rsidRDefault="002677B0" w:rsidP="002677B0">
      <w:pPr>
        <w:pStyle w:val="a9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«жилищного строительства» - 53%; </w:t>
      </w:r>
    </w:p>
    <w:p w:rsidR="003C7BA4" w:rsidRPr="002677B0" w:rsidRDefault="002E67DB" w:rsidP="003C7BA4">
      <w:pPr>
        <w:pStyle w:val="a9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когенерации</w:t>
      </w:r>
      <w:proofErr w:type="spellEnd"/>
      <w:r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</w:t>
      </w:r>
      <w:r w:rsidR="00B041BD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="006A74BF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  <w:r w:rsidR="003C7BA4" w:rsidRPr="00267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8B0D21" w:rsidRDefault="008B0D21" w:rsidP="008B0D2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:rsidR="008B0D21" w:rsidRPr="008B0D21" w:rsidRDefault="008B0D21" w:rsidP="008B0D21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0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большинства респондентов цены </w:t>
      </w:r>
      <w:proofErr w:type="gramStart"/>
      <w:r w:rsidRPr="008B0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B0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Ивановской</w:t>
      </w:r>
      <w:proofErr w:type="gramEnd"/>
      <w:r w:rsidRPr="008B0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выше по сравнению с другими регионами, на услуги теплосна</w:t>
      </w:r>
      <w:r w:rsidR="00276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бжения – </w:t>
      </w:r>
      <w:r w:rsidR="0044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8E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</w:t>
      </w:r>
      <w:r w:rsidR="0044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C7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медицинские услуги – </w:t>
      </w:r>
      <w:r w:rsidR="00276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BC7B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респондентов</w:t>
      </w:r>
      <w:r w:rsidR="0044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на жилищное строительство – 12% респондентов</w:t>
      </w:r>
      <w:r w:rsidR="008E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(Рис.6</w:t>
      </w:r>
      <w:r w:rsidRPr="008B0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B0D21" w:rsidRPr="008B0D21" w:rsidRDefault="008B0D21" w:rsidP="008B0D21">
      <w:pPr>
        <w:pStyle w:val="a9"/>
        <w:widowControl w:val="0"/>
        <w:spacing w:after="0" w:line="240" w:lineRule="auto"/>
        <w:ind w:left="1211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D21" w:rsidRPr="008B0D21" w:rsidRDefault="008B0D21" w:rsidP="001D5693">
      <w:pPr>
        <w:pStyle w:val="a9"/>
        <w:widowControl w:val="0"/>
        <w:spacing w:after="0" w:line="240" w:lineRule="auto"/>
        <w:ind w:left="0" w:right="2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63D74F" wp14:editId="4147D49B">
            <wp:extent cx="5486400" cy="2463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0D21" w:rsidRPr="008B0D21" w:rsidRDefault="008B0D21" w:rsidP="008B0D21">
      <w:pPr>
        <w:pStyle w:val="a9"/>
        <w:widowControl w:val="0"/>
        <w:spacing w:after="0" w:line="240" w:lineRule="auto"/>
        <w:ind w:left="1211" w:right="23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</w:p>
    <w:p w:rsidR="008B0D21" w:rsidRPr="008B0D21" w:rsidRDefault="008E7D22" w:rsidP="001D5693">
      <w:pPr>
        <w:pStyle w:val="a9"/>
        <w:widowControl w:val="0"/>
        <w:spacing w:after="0" w:line="240" w:lineRule="auto"/>
        <w:ind w:left="0" w:right="23" w:firstLine="709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Рис. 6</w:t>
      </w:r>
      <w:r w:rsidR="008B0D21" w:rsidRPr="008B0D2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 Оценка потребителями высокого уровня цен в Фурмановском муниципальном районе</w:t>
      </w:r>
    </w:p>
    <w:p w:rsidR="008B0D21" w:rsidRPr="008B0D21" w:rsidRDefault="008B0D21" w:rsidP="008B0D21">
      <w:pPr>
        <w:pStyle w:val="a9"/>
        <w:widowControl w:val="0"/>
        <w:spacing w:after="0" w:line="240" w:lineRule="auto"/>
        <w:ind w:left="1211" w:right="1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0806" w:rsidRPr="00FF6478" w:rsidRDefault="001F753F" w:rsidP="00D55A97">
      <w:pPr>
        <w:widowControl w:val="0"/>
        <w:spacing w:after="0" w:line="240" w:lineRule="auto"/>
        <w:ind w:left="23" w:right="20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Большинство потребителей </w:t>
      </w:r>
      <w:proofErr w:type="gramStart"/>
      <w:r w:rsidR="005D0AEE"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="005D0AEE"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скорее удовлетворены </w:t>
      </w:r>
      <w:r w:rsidRPr="009D2C7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качеством</w:t>
      </w:r>
      <w:r w:rsidR="0009793B"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товаров и </w:t>
      </w:r>
      <w:r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 на рынках </w:t>
      </w:r>
      <w:r w:rsidR="0002146B"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Фурмановского муниципального района</w:t>
      </w:r>
      <w:r w:rsidR="001E0806" w:rsidRPr="009D2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E0806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дошкольного образования» - 67%;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дополнительного образования детей» - 62%;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«выполнения работ по благоустройству городской среды» - 61%; 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«купли-продажи электрической энергии (мощности) на розничном рынке электрической энергии (мощности)» - 61%; </w:t>
      </w:r>
    </w:p>
    <w:p w:rsidR="009D2C72" w:rsidRPr="004D609B" w:rsidRDefault="009D2C72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розничной торговли лекарственными препаратами, медицинскими издели</w:t>
      </w:r>
      <w:r w:rsidR="00154E2C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ями и сопутствующими товарами» - </w:t>
      </w:r>
      <w:r w:rsidR="009371D4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</w:t>
      </w:r>
      <w:r w:rsidR="00154E2C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D2C72" w:rsidRPr="004D609B" w:rsidRDefault="009D2C72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«оказания услуг по перевозке пассажиров автомобильным транспортом по муниципальным маршрутам регулярных перевозок»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- 54%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4D609B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2C72" w:rsidRPr="004D609B" w:rsidRDefault="009D2C72" w:rsidP="009D2C72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«оказания услуг по перевозке пассажиров автомобильным транспортом по межмуниципальным маршрутам регулярных перевозок»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- 54%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«теплоснабжения» - 54%;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среднего профессионального образования - 49%;</w:t>
      </w:r>
    </w:p>
    <w:p w:rsidR="00BC7B31" w:rsidRPr="004D609B" w:rsidRDefault="00A67FAC" w:rsidP="004D609B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C7B31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 связи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C7B31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- 46%</w:t>
      </w:r>
      <w:r w:rsidR="009C23FF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D2C72" w:rsidRPr="004D609B" w:rsidRDefault="009D2C72" w:rsidP="009D2C72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«оказания услуг по перевозке пассажиров и багажа легковым такси на территории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субъекта Российской Федерации» - 44%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7761" w:rsidRPr="004D609B" w:rsidRDefault="009D2C72" w:rsidP="009D2C72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«рем</w:t>
      </w:r>
      <w:r w:rsidR="004D609B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онта автотранспортных средств» - 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="004D609B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A57C7" w:rsidRPr="004D609B" w:rsidRDefault="005A57C7" w:rsidP="009D2C72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«услуг по сб</w:t>
      </w:r>
      <w:r w:rsidR="009371D4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 и транспортированию ТКО» - 38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154E2C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E3072" w:rsidRPr="00FF6478" w:rsidRDefault="005E3072" w:rsidP="005E3072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0806" w:rsidRPr="00FF6478" w:rsidRDefault="005E3072" w:rsidP="001D4326">
      <w:pPr>
        <w:widowControl w:val="0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Большинство потребителей </w:t>
      </w:r>
      <w:r w:rsidR="005D0AEE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26483A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0AEE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="005D0AEE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FD116D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скорее не удовлетворены</w:t>
      </w:r>
      <w:r w:rsidR="00FD116D"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6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качеством</w:t>
      </w:r>
      <w:r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товаров и услуг на рынках Фурмановского муниципального района: </w:t>
      </w:r>
    </w:p>
    <w:p w:rsidR="001D4326" w:rsidRPr="004D609B" w:rsidRDefault="00A67FAC" w:rsidP="009D2C72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E3072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медицинских услуг</w:t>
      </w:r>
      <w:r w:rsidR="009371D4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- 61</w:t>
      </w:r>
      <w:r w:rsidR="005D0AEE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154E2C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5041A" w:rsidRPr="007C6B23" w:rsidRDefault="00A5041A" w:rsidP="007C6B23">
      <w:pPr>
        <w:widowControl w:val="0"/>
        <w:tabs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041A" w:rsidRPr="00FF6478" w:rsidRDefault="00A5041A" w:rsidP="00A5041A">
      <w:pPr>
        <w:widowControl w:val="0"/>
        <w:tabs>
          <w:tab w:val="left" w:pos="19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Затруднились ответить респонденты на следующих </w:t>
      </w:r>
      <w:proofErr w:type="gramStart"/>
      <w:r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рынках</w:t>
      </w:r>
      <w:proofErr w:type="gramEnd"/>
      <w:r w:rsidRPr="00FF6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кирпича» - 84%;</w:t>
      </w:r>
    </w:p>
    <w:p w:rsidR="009D2C72" w:rsidRPr="004D609B" w:rsidRDefault="0068242E" w:rsidP="004D609B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«производства бетона» - </w:t>
      </w:r>
      <w:r w:rsidR="009D2C72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2%</w:t>
      </w:r>
      <w:r w:rsidR="009D2C72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«добычи общераспространённых полезных ископаемых на участках недр местного значения» - 77%;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«обработки древесины и производства изделий из дерева» - 75%;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«нефтепродуктов» - 75%;</w:t>
      </w:r>
    </w:p>
    <w:p w:rsidR="009D2C72" w:rsidRPr="004D609B" w:rsidRDefault="009D2C72" w:rsidP="0068242E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D609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архитектурно-строительного проектирования </w:t>
      </w:r>
      <w:r w:rsidR="00052B89" w:rsidRPr="004D609B">
        <w:rPr>
          <w:rFonts w:ascii="Times New Roman" w:eastAsia="Times New Roman" w:hAnsi="Times New Roman"/>
          <w:sz w:val="28"/>
          <w:szCs w:val="28"/>
          <w:lang w:eastAsia="ru-RU"/>
        </w:rPr>
        <w:t>- 71%</w:t>
      </w:r>
      <w:r w:rsidRPr="004D60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609B" w:rsidRPr="004D609B" w:rsidRDefault="004D609B" w:rsidP="004D609B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«сферы наружной рекламы» - 67%;</w:t>
      </w:r>
    </w:p>
    <w:p w:rsidR="009D2C72" w:rsidRPr="004D609B" w:rsidRDefault="009D2C72" w:rsidP="0068242E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«строительства объектов капитального строительства, за исключением жилищного и дорожного строительства»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- 62%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E397E" w:rsidRPr="004D609B" w:rsidRDefault="00DD78EE" w:rsidP="0068242E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«жилищного строительства»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- 61%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68242E" w:rsidRPr="004D609B" w:rsidRDefault="0068242E" w:rsidP="0068242E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«легкой промышленности» - 57%;</w:t>
      </w:r>
    </w:p>
    <w:p w:rsidR="00DB1462" w:rsidRPr="004D609B" w:rsidRDefault="00DD78EE" w:rsidP="0068242E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«дорожной деятельности (за исключением проектирования)» 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- 54%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D78EE" w:rsidRPr="004D609B" w:rsidRDefault="00A5041A" w:rsidP="0068242E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«производства электрической энергии (мощности) на розничном рынке электрической энергии (мощности), включая производство электрической энергии (м</w:t>
      </w:r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ощности) в режиме </w:t>
      </w:r>
      <w:proofErr w:type="spellStart"/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когенерации</w:t>
      </w:r>
      <w:proofErr w:type="spellEnd"/>
      <w:r w:rsidR="00052B89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- 43%</w:t>
      </w: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371D4" w:rsidRPr="004D609B" w:rsidRDefault="009371D4" w:rsidP="009371D4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«социальных услуг» - 43%;</w:t>
      </w:r>
    </w:p>
    <w:p w:rsidR="009D2C72" w:rsidRPr="004D609B" w:rsidRDefault="00DD78EE" w:rsidP="009371D4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«услуг детского отдыха и оздоровления» </w:t>
      </w:r>
      <w:r w:rsidR="009371D4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- 41%</w:t>
      </w:r>
      <w:r w:rsidR="00154E2C" w:rsidRPr="004D6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D78EE" w:rsidRPr="00DD78EE" w:rsidRDefault="00DD78EE" w:rsidP="009371D4">
      <w:pPr>
        <w:pStyle w:val="a9"/>
        <w:widowControl w:val="0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2390" w:rsidRPr="00FD3B2E" w:rsidRDefault="009E3891" w:rsidP="009371D4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FF6478">
        <w:rPr>
          <w:rFonts w:ascii="Times New Roman" w:hAnsi="Times New Roman"/>
          <w:spacing w:val="2"/>
          <w:sz w:val="28"/>
          <w:shd w:val="clear" w:color="auto" w:fill="FFFFFF"/>
        </w:rPr>
        <w:t>По мнению</w:t>
      </w:r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 респондентов, слабо развита конкуренция</w:t>
      </w:r>
      <w:r w:rsidRPr="009E3891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/>
          <w:spacing w:val="2"/>
          <w:sz w:val="28"/>
          <w:shd w:val="clear" w:color="auto" w:fill="FFFFFF"/>
        </w:rPr>
        <w:t>рынке</w:t>
      </w:r>
      <w:proofErr w:type="gramEnd"/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35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медицинских услуг (</w:t>
      </w:r>
      <w:r w:rsidR="00A45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5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3%),</w:t>
      </w:r>
      <w:r w:rsidR="00FD3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теплоснабжения</w:t>
      </w:r>
      <w:r w:rsidR="00357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3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45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5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FD3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  <w:r w:rsidR="003D5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детского отдыха и оздоровления (13%)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A2390" w:rsidRPr="009E3891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E3891">
        <w:rPr>
          <w:rFonts w:ascii="Times New Roman" w:hAnsi="Times New Roman"/>
          <w:spacing w:val="2"/>
          <w:sz w:val="28"/>
          <w:shd w:val="clear" w:color="auto" w:fill="FFFFFF"/>
        </w:rPr>
        <w:t>что негативно сказывается на качестве</w:t>
      </w:r>
      <w:r w:rsidR="00FD3B2E">
        <w:rPr>
          <w:rFonts w:ascii="Times New Roman" w:hAnsi="Times New Roman"/>
          <w:spacing w:val="2"/>
          <w:sz w:val="28"/>
          <w:shd w:val="clear" w:color="auto" w:fill="FFFFFF"/>
        </w:rPr>
        <w:t xml:space="preserve"> услуг.</w:t>
      </w:r>
    </w:p>
    <w:p w:rsidR="00996C0E" w:rsidRDefault="00996C0E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0E57" w:rsidRDefault="0016060C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7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потребители считают, что количество организаций</w:t>
      </w:r>
      <w:r w:rsidR="00AD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ED7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оцениваемых 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рынках </w:t>
      </w:r>
      <w:r w:rsidRPr="00021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Фурмановского муниципального района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осталось неизменным. </w:t>
      </w:r>
    </w:p>
    <w:p w:rsidR="00996C0E" w:rsidRDefault="00996C0E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69F" w:rsidRDefault="00472696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товаров и 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услуг, </w:t>
      </w:r>
      <w:r w:rsidR="00522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ассортимент, 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мнению большинства р</w:t>
      </w:r>
      <w:r w:rsidR="004F7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еспондентов, остались на прежнем </w:t>
      </w:r>
      <w:proofErr w:type="gramStart"/>
      <w:r w:rsidR="004F7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уровне</w:t>
      </w:r>
      <w:proofErr w:type="gramEnd"/>
      <w:r w:rsidR="008E0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6C0E" w:rsidRDefault="00996C0E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4299" w:rsidRDefault="0016060C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большинство респондентов отметили рост цен на товары и услуги</w:t>
      </w:r>
      <w:r w:rsidR="004726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анализируемых рынков</w:t>
      </w:r>
      <w:r w:rsidRPr="00D9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9B7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</w:t>
      </w:r>
      <w:r w:rsidR="004726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45074" w:rsidRPr="00A45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7238" w:rsidRDefault="004F7238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DF7" w:rsidRDefault="004F7238" w:rsidP="00C44879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опрошенных большинство за последние три года не обращались за защитой своих прав как потребитель из-за</w:t>
      </w:r>
      <w:r w:rsidR="00072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некачественных товаров и услуг, за исключением нескольких респондентов. Сводные данные по этой проблематике представлены ниже.</w:t>
      </w:r>
    </w:p>
    <w:p w:rsidR="00FA617E" w:rsidRDefault="00FA617E" w:rsidP="00472696">
      <w:pPr>
        <w:widowControl w:val="0"/>
        <w:spacing w:after="0" w:line="240" w:lineRule="auto"/>
        <w:ind w:right="159" w:firstLine="68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BB40F27" wp14:editId="45B64AFF">
            <wp:extent cx="5486400" cy="221742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7238" w:rsidRPr="004F7238" w:rsidRDefault="008E7D22" w:rsidP="004F7238">
      <w:pPr>
        <w:widowControl w:val="0"/>
        <w:spacing w:after="0" w:line="240" w:lineRule="auto"/>
        <w:ind w:right="159" w:firstLine="686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Рис. 7</w:t>
      </w:r>
      <w:r w:rsidR="004F7238" w:rsidRPr="004F7238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. Данные о наличии жалоб со стороны потребителей в надзорные органы по данной проблематике</w:t>
      </w:r>
    </w:p>
    <w:p w:rsidR="0016060C" w:rsidRDefault="0016060C" w:rsidP="004707C7">
      <w:pPr>
        <w:widowControl w:val="0"/>
        <w:spacing w:after="0" w:line="240" w:lineRule="auto"/>
        <w:ind w:right="15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299" w:rsidRPr="00D55A97" w:rsidRDefault="001F753F" w:rsidP="00D55A9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19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</w:t>
      </w:r>
      <w:r w:rsidRPr="00BC1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0B32" w:rsidRDefault="008F0B32" w:rsidP="00D55A9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Pr="00CB4299" w:rsidRDefault="001F753F" w:rsidP="00D55A9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4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социологической части данного мониторинга проведено анкетирование с общей выборкой </w:t>
      </w:r>
      <w:r w:rsidRPr="00DE11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E11F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25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4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</w:t>
      </w:r>
      <w:r w:rsidR="00325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Pr="00CB4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6C0E" w:rsidRDefault="00996C0E" w:rsidP="00D55A9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753F" w:rsidRPr="009E0A61" w:rsidRDefault="001F753F" w:rsidP="00D55A9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мониторинга были получены оценки представителей хозяйствующих субъектов </w:t>
      </w:r>
      <w:r w:rsidR="009E0A61" w:rsidRPr="009E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потребителей </w:t>
      </w:r>
      <w:r w:rsidRPr="009E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относительно уровня </w:t>
      </w:r>
      <w:r w:rsidRPr="009E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доступности, уровня понятности и уровня удобства получения официальной информации о состоянии конкурентной среды на представляемых ими рынках, размещаемой в открытом доступе. Результаты проведенного опроса представлены на </w:t>
      </w:r>
      <w:proofErr w:type="gramStart"/>
      <w:r w:rsidR="00717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рисунках</w:t>
      </w:r>
      <w:proofErr w:type="gramEnd"/>
      <w:r w:rsidR="007171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192F" w:rsidRPr="00BC1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772676" w:rsidRPr="00BC1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BC1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E0A61" w:rsidRPr="009E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Pr="009E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7354" w:rsidRDefault="00C44730" w:rsidP="00772676">
      <w:pPr>
        <w:widowControl w:val="0"/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целом, большинство респондентов среди субъектов предпринимательства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оценивают качество информации о состоянии конкурентной среды в Фурмановском муниципальном районе как </w:t>
      </w:r>
      <w:r w:rsidR="0073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скорее </w:t>
      </w:r>
      <w:r w:rsidRPr="002D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удовлетворительное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(показатель во все случаях превышает </w:t>
      </w:r>
      <w:r w:rsidR="0073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0%)</w:t>
      </w:r>
      <w:r w:rsidRPr="002D3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Однако процент респондентов, неудовлетворенных качеством данной информации или испытывающих затруднения при ее оценке, также присутствует.</w:t>
      </w:r>
    </w:p>
    <w:p w:rsidR="001F753F" w:rsidRPr="00FA617E" w:rsidRDefault="00792ED6" w:rsidP="00567DF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595959" w:themeColor="text1" w:themeTint="A6"/>
          <w:sz w:val="2"/>
          <w:szCs w:val="2"/>
          <w:highlight w:val="lightGray"/>
          <w:lang w:eastAsia="ru-RU"/>
        </w:rPr>
      </w:pPr>
      <w:r w:rsidRPr="00FA617E">
        <w:rPr>
          <w:rFonts w:ascii="Courier New" w:eastAsia="Courier New" w:hAnsi="Courier New" w:cs="Courier New"/>
          <w:noProof/>
          <w:color w:val="000000"/>
          <w:sz w:val="2"/>
          <w:szCs w:val="2"/>
          <w:lang w:eastAsia="ru-RU"/>
        </w:rPr>
        <w:drawing>
          <wp:inline distT="0" distB="0" distL="0" distR="0" wp14:anchorId="4F52F589" wp14:editId="3CA25F2A">
            <wp:extent cx="5528733" cy="202353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0A61" w:rsidRPr="009E0A61" w:rsidRDefault="009E0A61" w:rsidP="001F753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highlight w:val="lightGray"/>
          <w:lang w:eastAsia="ru-RU"/>
        </w:rPr>
      </w:pPr>
    </w:p>
    <w:p w:rsidR="00BF3F58" w:rsidRPr="00772676" w:rsidRDefault="002639C0" w:rsidP="00772676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Рис.8</w:t>
      </w:r>
      <w:r w:rsidR="009E0A61" w:rsidRPr="00567DF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. Оценка субъектами предпринимательской деятельности качества информации о состоянии конкурентной среды в Фурмановском муниципальном районе</w:t>
      </w:r>
    </w:p>
    <w:p w:rsidR="00772676" w:rsidRDefault="00BF3F58" w:rsidP="00772676">
      <w:pPr>
        <w:widowControl w:val="0"/>
        <w:spacing w:before="240" w:after="0" w:line="322" w:lineRule="exact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C44730" w:rsidRPr="00187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ольшинство респондентов среди потребителей</w:t>
      </w:r>
      <w:r w:rsidR="00C4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4730" w:rsidRPr="00341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оценивают качество информации о состоянии конкурентной среды в Фурмановском муниципальном районе как скорее удовлетворительное. Однако </w:t>
      </w:r>
      <w:r w:rsidR="001A6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многие респонденты </w:t>
      </w:r>
      <w:r w:rsidR="00C44730" w:rsidRPr="00341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испытываю</w:t>
      </w:r>
      <w:r w:rsidR="001A6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затруднения при ее оценке</w:t>
      </w:r>
      <w:r w:rsidR="00C44730" w:rsidRPr="00341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0A61" w:rsidRPr="009E0A61" w:rsidRDefault="009E0A61" w:rsidP="009E0A6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highlight w:val="lightGray"/>
          <w:lang w:eastAsia="ru-RU"/>
        </w:rPr>
      </w:pPr>
    </w:p>
    <w:p w:rsidR="002914F1" w:rsidRDefault="002914F1" w:rsidP="009E0A61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FA617E">
        <w:rPr>
          <w:rFonts w:ascii="Courier New" w:eastAsia="Courier New" w:hAnsi="Courier New" w:cs="Courier New"/>
          <w:noProof/>
          <w:color w:val="000000"/>
          <w:sz w:val="2"/>
          <w:szCs w:val="2"/>
          <w:lang w:eastAsia="ru-RU"/>
        </w:rPr>
        <w:drawing>
          <wp:inline distT="0" distB="0" distL="0" distR="0" wp14:anchorId="0D6E83CC" wp14:editId="63C2F349">
            <wp:extent cx="5528733" cy="2023534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E0A61" w:rsidRDefault="002639C0" w:rsidP="009E0A61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Рис.9</w:t>
      </w:r>
      <w:r w:rsidR="009E0A61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Оценка </w:t>
      </w:r>
      <w:r w:rsid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потребителями</w:t>
      </w:r>
      <w:r w:rsidR="009E0A61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качества информации о состоянии конкурентной среды в Фурмановском муниципальном районе</w:t>
      </w:r>
    </w:p>
    <w:p w:rsidR="00FD4781" w:rsidRDefault="00FD4781" w:rsidP="00FE778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</w:p>
    <w:p w:rsidR="00FE7787" w:rsidRDefault="00FE7787" w:rsidP="00FE778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 w:rsidRPr="00E90769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Анализ оценки источников информации о состоянии конкурентной среды в Фурмановском муниципальном районе субъектами предпринимательской деятельности приведен на рисунке 10.</w:t>
      </w:r>
    </w:p>
    <w:p w:rsidR="00FE7787" w:rsidRDefault="00FE7787" w:rsidP="00FE778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Как видно из диаграммы, респонденты больше всего доверяют о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фициальн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ой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информации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 размещенн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ой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на сайте уполномоченного органа</w:t>
      </w:r>
      <w:r w:rsidR="00673891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 w:rsidRPr="00265E18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на </w:t>
      </w:r>
      <w:proofErr w:type="gramStart"/>
      <w:r w:rsidRPr="00265E18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интернет-портале</w:t>
      </w:r>
      <w:proofErr w:type="gramEnd"/>
      <w:r w:rsidRPr="00265E18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об инвестиционной деятельности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Ивановской области,</w:t>
      </w:r>
      <w:r w:rsidR="00673891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сайте ФАС и официальных сайтах администрации Фурмановского </w:t>
      </w:r>
      <w:r w:rsidR="00673891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lastRenderedPageBreak/>
        <w:t>муниципального района,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а предпочитают пользоваться информацией на телевидении</w:t>
      </w:r>
      <w:r w:rsidR="00673891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 от печатных СМИ, радио и специальных интернет-блогов, порталов и прочие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.</w:t>
      </w:r>
    </w:p>
    <w:p w:rsidR="00FE7787" w:rsidRDefault="00FE7787" w:rsidP="00FE77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60C316C" wp14:editId="0CD0D3C1">
            <wp:extent cx="5897880" cy="2354580"/>
            <wp:effectExtent l="0" t="0" r="0" b="76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E7787" w:rsidRDefault="00FE7787" w:rsidP="00FE7787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Рис.10</w:t>
      </w:r>
      <w:r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Оценка 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субъектами предпринимательской деятельности</w:t>
      </w:r>
      <w:r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источников</w:t>
      </w:r>
      <w:r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информации о состоянии конкурентной среды в Фурмановском муниципальном районе</w:t>
      </w:r>
    </w:p>
    <w:p w:rsidR="00FE7787" w:rsidRDefault="00FE7787" w:rsidP="00FE7787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</w:p>
    <w:p w:rsidR="00782914" w:rsidRDefault="005E2804" w:rsidP="005E2804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 w:rsidRPr="00E3057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Анализ оценки источников информации о состоянии конкурентной среды в Фурмановском муниципальном районе</w:t>
      </w:r>
      <w:r w:rsidR="00893166" w:rsidRPr="00E3057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потребителями</w:t>
      </w:r>
      <w:r w:rsidR="00893166" w:rsidRPr="0058271F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приведен</w:t>
      </w:r>
      <w:r w:rsidR="007171CD" w:rsidRPr="0058271F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на рисунке 11</w:t>
      </w:r>
      <w:r w:rsidRPr="0058271F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ниже.</w:t>
      </w:r>
    </w:p>
    <w:p w:rsidR="00996C0E" w:rsidRDefault="00996C0E" w:rsidP="005E2804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</w:p>
    <w:p w:rsidR="005E2804" w:rsidRDefault="005E2804" w:rsidP="005E2804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Как видно из диаграммы, респонденты больше всего доверяют о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фициальн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ой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информации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, </w:t>
      </w:r>
      <w:r w:rsidR="00342B2F"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размещенн</w:t>
      </w:r>
      <w:r w:rsidR="00342B2F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ой</w:t>
      </w:r>
      <w:r w:rsidR="00342B2F"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 w:rsidR="00E30576" w:rsidRPr="00E3057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на сайте Федеральной антимонопольной службы</w:t>
      </w:r>
      <w:r w:rsidR="009F216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</w:t>
      </w:r>
      <w:r w:rsidR="00342B2F"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 w:rsidR="009F216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а предпочитают пользоваться информацией, размещенной на </w:t>
      </w:r>
      <w:r w:rsidR="009F2166"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официальн</w:t>
      </w:r>
      <w:r w:rsidR="009F216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ом</w:t>
      </w:r>
      <w:r w:rsidR="009F2166"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сайт</w:t>
      </w:r>
      <w:r w:rsidR="009F2166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е</w:t>
      </w:r>
      <w:r w:rsidR="009F2166"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уполномоченного органа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, </w:t>
      </w:r>
      <w:r w:rsidRPr="005E280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на официальных сайтах 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Фурмановского муниципального района, а так же информации на телевидении.</w:t>
      </w:r>
    </w:p>
    <w:p w:rsidR="00996C0E" w:rsidRDefault="00996C0E" w:rsidP="005E2804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</w:p>
    <w:p w:rsidR="005E2804" w:rsidRDefault="005E2804" w:rsidP="005E2804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Следует отметить, что выбор «затрудняюсь ответить» связан</w:t>
      </w:r>
      <w:r w:rsidR="00265E18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скорее всего</w:t>
      </w:r>
      <w:r w:rsidR="00265E18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с тем, что потребители не пользуются данными источниками.</w:t>
      </w:r>
    </w:p>
    <w:p w:rsidR="00062D02" w:rsidRPr="00062D02" w:rsidRDefault="00062D02" w:rsidP="005E2804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16"/>
          <w:szCs w:val="23"/>
          <w:lang w:eastAsia="ru-RU"/>
        </w:rPr>
      </w:pPr>
    </w:p>
    <w:p w:rsidR="00F908F8" w:rsidRDefault="00782914" w:rsidP="007829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2584C95" wp14:editId="507ED62E">
            <wp:extent cx="5897880" cy="264414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82914" w:rsidRDefault="007171CD" w:rsidP="00782914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Рис.11</w:t>
      </w:r>
      <w:r w:rsidR="00782914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Оценка </w:t>
      </w:r>
      <w:r w:rsidR="0078291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потребителями</w:t>
      </w:r>
      <w:r w:rsidR="00782914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78291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источников</w:t>
      </w:r>
      <w:r w:rsidR="00782914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информации о состоянии конкурентной среды в Фурмановском муниципальном районе</w:t>
      </w:r>
    </w:p>
    <w:p w:rsidR="007C6B23" w:rsidRDefault="007C6B23" w:rsidP="002C1E5B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</w:p>
    <w:p w:rsidR="00CE18FB" w:rsidRDefault="00CE18FB" w:rsidP="002C1E5B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</w:p>
    <w:p w:rsidR="002C1E5B" w:rsidRPr="002C1E5B" w:rsidRDefault="002C1E5B" w:rsidP="002C1E5B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 w:rsidRPr="00A672FA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lastRenderedPageBreak/>
        <w:t xml:space="preserve">Полноту размещения информации о состоянии конкурентной среды субъектами предпринимательской деятельности оценивают в большинстве как </w:t>
      </w:r>
      <w:r w:rsidR="006A0471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скорее </w:t>
      </w:r>
      <w:r w:rsidRPr="00A672FA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удовлетворительную.</w:t>
      </w:r>
    </w:p>
    <w:p w:rsidR="008A32C4" w:rsidRDefault="008A32C4" w:rsidP="007D6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306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CEB8BB0" wp14:editId="635AA4C5">
            <wp:extent cx="5928360" cy="2948940"/>
            <wp:effectExtent l="0" t="0" r="0" b="38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1E5B" w:rsidRPr="00780ED1" w:rsidRDefault="000C3D56" w:rsidP="002C1E5B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Рис.12</w:t>
      </w:r>
      <w:r w:rsidR="002C1E5B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Оценка </w:t>
      </w:r>
      <w:r w:rsidR="002C1E5B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субъектами предпринимательской деятельности</w:t>
      </w:r>
      <w:r w:rsidR="002C1E5B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C1E5B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полноты размещения</w:t>
      </w:r>
      <w:r w:rsidR="002C1E5B"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информации о состоянии конкурентной среды в Фурмановском муниципальном районе</w:t>
      </w:r>
    </w:p>
    <w:p w:rsidR="00E064D4" w:rsidRDefault="00E064D4" w:rsidP="00D5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753F" w:rsidRPr="00004771" w:rsidRDefault="001F753F" w:rsidP="00D5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436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Мониторинг деятельности субъектов естественных монополий на территории </w:t>
      </w:r>
      <w:r w:rsidR="00D70F14" w:rsidRPr="001436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Фурмановского муниципального района</w:t>
      </w:r>
    </w:p>
    <w:p w:rsidR="006401E3" w:rsidRPr="00933CDB" w:rsidRDefault="006401E3" w:rsidP="00F40566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eastAsia="ru-RU"/>
        </w:rPr>
      </w:pPr>
    </w:p>
    <w:p w:rsidR="001F753F" w:rsidRPr="00004771" w:rsidRDefault="001F753F" w:rsidP="00F40566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социологической части данного мониторинга проведено анкетирование с общей выборкой в </w:t>
      </w:r>
      <w:r w:rsidR="004A7642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65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4228A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</w:t>
      </w:r>
      <w:r w:rsidR="00036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D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субъектов предпринимательской деятельности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753F" w:rsidRPr="00004771" w:rsidRDefault="001F753F" w:rsidP="00F40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осуществлялся на </w:t>
      </w:r>
      <w:proofErr w:type="gramStart"/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следующих критериев:</w:t>
      </w:r>
    </w:p>
    <w:p w:rsidR="001F753F" w:rsidRPr="00004771" w:rsidRDefault="001F753F" w:rsidP="00E97565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сроков получения </w:t>
      </w:r>
      <w:r w:rsidR="00E4228A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субъектов естественных монополий</w:t>
      </w:r>
      <w:proofErr w:type="gramEnd"/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4A7642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="003E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(Таблица 2)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753F" w:rsidRPr="00004771" w:rsidRDefault="001F753F" w:rsidP="00E97565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сложности (количество) процедур подключения </w:t>
      </w:r>
      <w:r w:rsidR="00E4228A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субъектов естественных монополий в </w:t>
      </w:r>
      <w:r w:rsidR="004A7642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="003E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(Таблица 3)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908F8" w:rsidRPr="00BF3F58" w:rsidRDefault="001F753F" w:rsidP="00E97565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стоимости </w:t>
      </w:r>
      <w:r w:rsidR="00E4228A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субъектов естественных монополий в </w:t>
      </w:r>
      <w:r w:rsidR="004A7642"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="003E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(Таблица 4)</w:t>
      </w:r>
      <w:r w:rsidRPr="00004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18FB" w:rsidRDefault="00CE18FB" w:rsidP="00CB3B37">
      <w:pPr>
        <w:widowControl w:val="0"/>
        <w:spacing w:after="0" w:line="230" w:lineRule="exact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</w:pPr>
    </w:p>
    <w:p w:rsidR="00CB3B37" w:rsidRPr="00F45366" w:rsidRDefault="00CB3B37" w:rsidP="00CB3B37">
      <w:pPr>
        <w:widowControl w:val="0"/>
        <w:spacing w:after="0" w:line="230" w:lineRule="exact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  <w:t>Таблица 2</w:t>
      </w:r>
    </w:p>
    <w:p w:rsidR="00E50586" w:rsidRPr="00F45366" w:rsidRDefault="00E50586" w:rsidP="00CB3B37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 xml:space="preserve">Сроки </w:t>
      </w:r>
      <w:proofErr w:type="gramStart"/>
      <w:r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 xml:space="preserve">получения доступа </w:t>
      </w:r>
      <w:r w:rsidR="00D81274"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>услуг</w:t>
      </w:r>
      <w:r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 xml:space="preserve"> субъектов естественных монополий</w:t>
      </w:r>
      <w:proofErr w:type="gramEnd"/>
    </w:p>
    <w:p w:rsidR="00E50586" w:rsidRPr="00CB3B37" w:rsidRDefault="00E50586" w:rsidP="00E50586">
      <w:pPr>
        <w:widowControl w:val="0"/>
        <w:spacing w:after="0" w:line="230" w:lineRule="exact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559"/>
        <w:gridCol w:w="1559"/>
        <w:gridCol w:w="1560"/>
        <w:gridCol w:w="1559"/>
      </w:tblGrid>
      <w:tr w:rsidR="008611B6" w:rsidRPr="00CB3B37" w:rsidTr="0016114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312FD4" w:rsidRDefault="008611B6" w:rsidP="00312FD4">
            <w:pPr>
              <w:widowControl w:val="0"/>
              <w:spacing w:after="0" w:line="240" w:lineRule="auto"/>
              <w:ind w:left="-70" w:right="-71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2FD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312FD4" w:rsidRDefault="008611B6" w:rsidP="00312FD4">
            <w:pPr>
              <w:widowControl w:val="0"/>
              <w:spacing w:after="0" w:line="240" w:lineRule="auto"/>
              <w:ind w:left="-70" w:right="-71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2FD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312FD4" w:rsidRDefault="008611B6" w:rsidP="00312FD4">
            <w:pPr>
              <w:pStyle w:val="a9"/>
              <w:widowControl w:val="0"/>
              <w:spacing w:after="0" w:line="240" w:lineRule="auto"/>
              <w:ind w:left="-70" w:right="-71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2F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Скорее не удовлетворительно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312FD4" w:rsidRDefault="00312FD4" w:rsidP="00312FD4">
            <w:pPr>
              <w:pStyle w:val="a9"/>
              <w:widowControl w:val="0"/>
              <w:spacing w:after="0" w:line="240" w:lineRule="auto"/>
              <w:ind w:left="-70" w:right="-71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312FD4" w:rsidRDefault="008611B6" w:rsidP="00312FD4">
            <w:pPr>
              <w:pStyle w:val="a9"/>
              <w:widowControl w:val="0"/>
              <w:spacing w:after="0" w:line="240" w:lineRule="auto"/>
              <w:ind w:left="-70" w:right="-71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2F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Затрудняюсь</w:t>
            </w:r>
          </w:p>
          <w:p w:rsidR="008611B6" w:rsidRPr="00312FD4" w:rsidRDefault="008611B6" w:rsidP="00312FD4">
            <w:pPr>
              <w:widowControl w:val="0"/>
              <w:spacing w:after="0" w:line="240" w:lineRule="auto"/>
              <w:ind w:left="-70" w:right="-7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2F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ответить</w:t>
            </w:r>
          </w:p>
        </w:tc>
      </w:tr>
      <w:tr w:rsidR="008611B6" w:rsidRPr="00CB3B37" w:rsidTr="00684D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80A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324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684D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032E3B" w:rsidP="0063244C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671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324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671C3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684D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D671C3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61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684D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261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684D3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61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933CDB" w:rsidTr="00032E3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312FD4">
            <w:pPr>
              <w:spacing w:after="0" w:line="240" w:lineRule="auto"/>
              <w:ind w:left="-70" w:right="-71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5261F8" w:rsidP="00032E3B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2E3B">
              <w:rPr>
                <w:rFonts w:ascii="Times New Roman" w:hAnsi="Times New Roman"/>
                <w:sz w:val="24"/>
                <w:szCs w:val="24"/>
              </w:rPr>
              <w:t>4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Default="00032E3B" w:rsidP="00312FD4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032E3B" w:rsidP="005261F8">
            <w:pPr>
              <w:spacing w:after="0" w:line="240" w:lineRule="auto"/>
              <w:ind w:left="-70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50761" w:rsidRPr="00933CDB" w:rsidRDefault="00B50761" w:rsidP="00B26766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eastAsia="ru-RU"/>
        </w:rPr>
      </w:pPr>
    </w:p>
    <w:p w:rsidR="00F40566" w:rsidRDefault="00120816" w:rsidP="003E17D7">
      <w:pPr>
        <w:widowControl w:val="0"/>
        <w:spacing w:after="0" w:line="240" w:lineRule="auto"/>
        <w:ind w:left="40" w:right="40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итогам проведенного анкетирования в отношении сроков получения доступа к услугам субъектов естественных монополий в Фурмановском муниципальном районе </w:t>
      </w:r>
      <w:r w:rsidR="00F40566"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C53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ольшинство респондентов считают</w:t>
      </w:r>
      <w:r w:rsidR="00E834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скорее удовлетворительными </w:t>
      </w:r>
      <w:r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сроки получения доступа к </w:t>
      </w:r>
      <w:r w:rsidR="00DF0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данным</w:t>
      </w:r>
      <w:r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услугам субъектов естественных монополий в Фурмановском муниципальном районе</w:t>
      </w:r>
      <w:r w:rsid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18FB" w:rsidRDefault="00CE18FB" w:rsidP="00F4056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</w:pPr>
    </w:p>
    <w:p w:rsidR="00F40566" w:rsidRPr="00F45366" w:rsidRDefault="00F40566" w:rsidP="00F4056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ru-RU"/>
        </w:rPr>
        <w:t>Таблица 3</w:t>
      </w:r>
    </w:p>
    <w:p w:rsidR="00B26766" w:rsidRPr="00F45366" w:rsidRDefault="00B26766" w:rsidP="00B267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 xml:space="preserve"> Оценка сложности (количество) процедур подключения </w:t>
      </w:r>
      <w:r w:rsidR="00D81274"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>услуг</w:t>
      </w:r>
    </w:p>
    <w:p w:rsidR="00B26766" w:rsidRPr="00F45366" w:rsidRDefault="00B26766" w:rsidP="00B267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</w:pPr>
      <w:r w:rsidRPr="00F45366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ru-RU"/>
        </w:rPr>
        <w:t>субъектов естественных монополий</w:t>
      </w:r>
    </w:p>
    <w:p w:rsidR="00F40566" w:rsidRPr="00F40566" w:rsidRDefault="00F40566" w:rsidP="00B267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559"/>
        <w:gridCol w:w="1559"/>
        <w:gridCol w:w="1560"/>
        <w:gridCol w:w="1559"/>
      </w:tblGrid>
      <w:tr w:rsidR="008611B6" w:rsidRPr="00CB3B37" w:rsidTr="003C61F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3E17D7" w:rsidRDefault="008611B6" w:rsidP="00BA5CEE">
            <w:pPr>
              <w:widowControl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E17D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3E17D7" w:rsidRDefault="008611B6" w:rsidP="00BA5CEE">
            <w:pPr>
              <w:widowControl w:val="0"/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E17D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3E17D7" w:rsidRDefault="008611B6" w:rsidP="00BA5CEE">
            <w:pPr>
              <w:pStyle w:val="a9"/>
              <w:widowControl w:val="0"/>
              <w:spacing w:after="0" w:line="240" w:lineRule="auto"/>
              <w:ind w:left="-56" w:right="-108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17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Скорее не удовлетворительно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3E17D7" w:rsidRDefault="008611B6" w:rsidP="00BA5CEE">
            <w:pPr>
              <w:pStyle w:val="a9"/>
              <w:widowControl w:val="0"/>
              <w:spacing w:after="0" w:line="240" w:lineRule="auto"/>
              <w:ind w:left="-56" w:right="-108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17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3E17D7" w:rsidRDefault="008611B6" w:rsidP="00BA5CEE">
            <w:pPr>
              <w:pStyle w:val="a9"/>
              <w:widowControl w:val="0"/>
              <w:spacing w:after="0" w:line="240" w:lineRule="auto"/>
              <w:ind w:left="-56" w:right="-108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17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Затрудняюсь</w:t>
            </w:r>
          </w:p>
          <w:p w:rsidR="008611B6" w:rsidRPr="003E17D7" w:rsidRDefault="008611B6" w:rsidP="00BA5CEE">
            <w:pPr>
              <w:pStyle w:val="a9"/>
              <w:widowControl w:val="0"/>
              <w:spacing w:after="0" w:line="240" w:lineRule="auto"/>
              <w:ind w:left="-56" w:right="-108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17D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ответить</w:t>
            </w:r>
          </w:p>
        </w:tc>
      </w:tr>
      <w:tr w:rsidR="008611B6" w:rsidRPr="00CB3B37" w:rsidTr="00BA5C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066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2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BA5C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1436AF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2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70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BA5C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2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70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BA5C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11B6" w:rsidRPr="00EA19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70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A5C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70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CB3B37" w:rsidTr="00BA5C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11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70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11B6" w:rsidRPr="00933CDB" w:rsidTr="00BA5CEE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B6" w:rsidRPr="00CB3B37" w:rsidRDefault="008611B6" w:rsidP="00BA5CEE">
            <w:pPr>
              <w:spacing w:after="0" w:line="240" w:lineRule="auto"/>
              <w:ind w:left="-56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611B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B6" w:rsidRPr="00CB3B37" w:rsidRDefault="001770D2" w:rsidP="00BA5CEE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70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755FF" w:rsidRDefault="005755FF" w:rsidP="00BA5CE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6F50" w:rsidRPr="00F40566" w:rsidRDefault="001F753F" w:rsidP="00546F59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проведенного анкетирования в</w:t>
      </w:r>
      <w:r w:rsidR="00991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отношении сложности (количество</w:t>
      </w:r>
      <w:r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процедур подключения к услугам субъектов естественных монополий в </w:t>
      </w:r>
      <w:r w:rsidR="008D0623"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71EE1"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ольшинство респондентов считают </w:t>
      </w:r>
      <w:r w:rsidR="008D748B"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удовлетворительной</w:t>
      </w:r>
      <w:r w:rsidR="00771EE1"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1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скорее удовлетворительной </w:t>
      </w:r>
      <w:r w:rsidR="00771EE1" w:rsidRPr="00F4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сложность (количество) процедур подключения следующим услугам субъектов естественных монополий в Фу</w:t>
      </w:r>
      <w:r w:rsidR="00C41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рмановском муниципальном районе.</w:t>
      </w:r>
      <w:r w:rsidR="00EA1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18FB" w:rsidRDefault="00CE18FB" w:rsidP="0033272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ru-RU"/>
        </w:rPr>
      </w:pPr>
    </w:p>
    <w:p w:rsidR="00332725" w:rsidRPr="00332725" w:rsidRDefault="00030454" w:rsidP="0033272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ru-RU"/>
        </w:rPr>
        <w:t>Таблица 4</w:t>
      </w:r>
    </w:p>
    <w:p w:rsidR="00771EE1" w:rsidRPr="00444257" w:rsidRDefault="00771EE1" w:rsidP="00771E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442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Стоимость подключения </w:t>
      </w:r>
      <w:r w:rsidR="008D748B" w:rsidRPr="004442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услуг</w:t>
      </w:r>
      <w:r w:rsidRPr="004442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субъектов естественных монополий</w:t>
      </w:r>
    </w:p>
    <w:p w:rsidR="009917B3" w:rsidRPr="00444257" w:rsidRDefault="009917B3" w:rsidP="00771E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559"/>
        <w:gridCol w:w="1559"/>
        <w:gridCol w:w="1560"/>
        <w:gridCol w:w="1559"/>
      </w:tblGrid>
      <w:tr w:rsidR="00245AFE" w:rsidRPr="00CB3B37" w:rsidTr="000D0F3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E" w:rsidRPr="009917B3" w:rsidRDefault="00245AFE" w:rsidP="009917B3">
            <w:pPr>
              <w:widowControl w:val="0"/>
              <w:spacing w:after="0" w:line="240" w:lineRule="auto"/>
              <w:ind w:left="-70" w:right="-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9917B3" w:rsidRDefault="00245AFE" w:rsidP="009917B3">
            <w:pPr>
              <w:widowControl w:val="0"/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9917B3" w:rsidRDefault="00245AFE" w:rsidP="009917B3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Скорее не удовлетворительно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9917B3" w:rsidRDefault="00245AFE" w:rsidP="009917B3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9917B3" w:rsidRDefault="00245AFE" w:rsidP="009917B3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Затрудняюсь</w:t>
            </w:r>
          </w:p>
          <w:p w:rsidR="00245AFE" w:rsidRPr="009917B3" w:rsidRDefault="00245AFE" w:rsidP="009917B3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ответить</w:t>
            </w:r>
          </w:p>
        </w:tc>
      </w:tr>
      <w:tr w:rsidR="00245AFE" w:rsidRPr="00CB3B37" w:rsidTr="00C759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063B2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063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5A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5AFE" w:rsidRPr="00CB3B37" w:rsidTr="00C17C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45A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81709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45A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063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5AFE" w:rsidRPr="00CB3B37" w:rsidTr="00C17C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63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81709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5A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BD7323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063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Default="00BD7323" w:rsidP="00F81709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5AFE" w:rsidRPr="00CB3B37" w:rsidTr="00C17C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E" w:rsidRPr="00CB3B37" w:rsidRDefault="00F81709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CB3B37" w:rsidRDefault="003C1F9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81709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3C1F9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E063B2" w:rsidP="003C1F9B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1F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81709" w:rsidP="003C1F9B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1F9B">
              <w:rPr>
                <w:rFonts w:ascii="Times New Roman" w:hAnsi="Times New Roman"/>
                <w:sz w:val="24"/>
                <w:szCs w:val="24"/>
              </w:rPr>
              <w:t>9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5AFE" w:rsidRPr="00CB3B37" w:rsidTr="00C17C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45A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D66AB" w:rsidP="00F81709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D66AB" w:rsidP="00F81709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5AFE" w:rsidRPr="00933CDB" w:rsidTr="00C17C72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E" w:rsidRPr="00CB3B37" w:rsidRDefault="00245AFE" w:rsidP="009917B3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45AFE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63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AFE" w:rsidRPr="00CB3B37" w:rsidRDefault="00FD66AB" w:rsidP="009917B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869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63F65" w:rsidRPr="00332725" w:rsidRDefault="00063F65" w:rsidP="00A50B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F753F" w:rsidRDefault="001F753F" w:rsidP="00885D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проведенного </w:t>
      </w:r>
      <w:r w:rsidR="001C0415"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анкетирования</w:t>
      </w:r>
      <w:r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большинство респондентов оценили стоимость </w:t>
      </w:r>
      <w:r w:rsidR="008D748B"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субъектов естественных монополий в </w:t>
      </w:r>
      <w:r w:rsidR="001C0415"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Фурмановском муниципальном районе</w:t>
      </w:r>
      <w:r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A06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скорее удовлетворительную</w:t>
      </w:r>
      <w:r w:rsidR="00C17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также стоит отметить, что многие респонденты оценили </w:t>
      </w:r>
      <w:r w:rsidR="00C17C72" w:rsidRPr="0033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услуг</w:t>
      </w:r>
      <w:r w:rsidR="00C17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неудовлетворительную</w:t>
      </w:r>
      <w:r w:rsidR="00271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скорее неудовлетворительную</w:t>
      </w:r>
      <w:r w:rsidR="00A06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C6138" w:rsidRDefault="009C6138" w:rsidP="00885D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3790" w:rsidRDefault="004E3790" w:rsidP="004E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Респонденты также оценили, </w:t>
      </w:r>
      <w:r w:rsidRPr="005A4349">
        <w:rPr>
          <w:rFonts w:ascii="Times New Roman" w:hAnsi="Times New Roman"/>
          <w:sz w:val="28"/>
          <w:szCs w:val="28"/>
        </w:rPr>
        <w:t>как изменилось количество процедур подключения</w:t>
      </w:r>
      <w:r>
        <w:rPr>
          <w:rFonts w:ascii="Times New Roman" w:hAnsi="Times New Roman"/>
          <w:sz w:val="28"/>
          <w:szCs w:val="28"/>
        </w:rPr>
        <w:t>, качество и цены</w:t>
      </w:r>
      <w:r w:rsidRPr="005A4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A434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5A4349">
        <w:rPr>
          <w:rFonts w:ascii="Times New Roman" w:hAnsi="Times New Roman"/>
          <w:sz w:val="28"/>
          <w:szCs w:val="28"/>
        </w:rPr>
        <w:t xml:space="preserve"> субъектов естественных монополий за последние 5 лет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Абсолютно на всех рынках естественных монополий </w:t>
      </w:r>
      <w:r>
        <w:rPr>
          <w:rFonts w:ascii="Times New Roman" w:hAnsi="Times New Roman"/>
          <w:sz w:val="28"/>
          <w:szCs w:val="28"/>
        </w:rPr>
        <w:lastRenderedPageBreak/>
        <w:t xml:space="preserve">количество процедур не изменилось, качество услуг </w:t>
      </w:r>
      <w:r w:rsidR="00F51EF5">
        <w:rPr>
          <w:rFonts w:ascii="Times New Roman" w:hAnsi="Times New Roman"/>
          <w:sz w:val="28"/>
          <w:szCs w:val="28"/>
        </w:rPr>
        <w:t xml:space="preserve">большинство респондентов оценили </w:t>
      </w:r>
      <w:r w:rsidR="00FF1BAB">
        <w:rPr>
          <w:rFonts w:ascii="Times New Roman" w:hAnsi="Times New Roman"/>
          <w:sz w:val="28"/>
          <w:szCs w:val="28"/>
        </w:rPr>
        <w:t xml:space="preserve">также </w:t>
      </w:r>
      <w:r w:rsidR="00F51EF5">
        <w:rPr>
          <w:rFonts w:ascii="Times New Roman" w:hAnsi="Times New Roman"/>
          <w:sz w:val="28"/>
          <w:szCs w:val="28"/>
        </w:rPr>
        <w:t>как неизменное</w:t>
      </w:r>
      <w:r>
        <w:rPr>
          <w:rFonts w:ascii="Times New Roman" w:hAnsi="Times New Roman"/>
          <w:sz w:val="28"/>
          <w:szCs w:val="28"/>
        </w:rPr>
        <w:t>, а цены выросли на всех рынках.</w:t>
      </w:r>
    </w:p>
    <w:p w:rsidR="004E3790" w:rsidRDefault="004E3790" w:rsidP="004E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проблем, с которыми столкнулись респонденты при взаимодействии с субъектами естественных монополий, выделяются следующие:</w:t>
      </w:r>
    </w:p>
    <w:p w:rsidR="00841F4E" w:rsidRDefault="00841F4E" w:rsidP="00841F4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Навязывание дополнительных услуг – </w:t>
      </w:r>
      <w:r w:rsidR="00FF1BA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%;</w:t>
      </w:r>
    </w:p>
    <w:p w:rsidR="004E3790" w:rsidRDefault="004E3790" w:rsidP="004E3790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Взимание дополнительной платы – </w:t>
      </w:r>
      <w:r w:rsidR="00FF1BA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%;</w:t>
      </w:r>
    </w:p>
    <w:p w:rsidR="00FF1BAB" w:rsidRDefault="00FF1BAB" w:rsidP="00FF1B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EF2">
        <w:rPr>
          <w:rFonts w:ascii="Times New Roman" w:hAnsi="Times New Roman"/>
          <w:sz w:val="28"/>
          <w:szCs w:val="28"/>
        </w:rPr>
        <w:t xml:space="preserve">Проблемы с заменой приборов учета </w:t>
      </w:r>
      <w:r>
        <w:rPr>
          <w:rFonts w:ascii="Times New Roman" w:hAnsi="Times New Roman"/>
          <w:sz w:val="28"/>
          <w:szCs w:val="28"/>
        </w:rPr>
        <w:t>– 13%;</w:t>
      </w:r>
    </w:p>
    <w:p w:rsidR="00FF1BAB" w:rsidRPr="00841F4E" w:rsidRDefault="00FF1BAB" w:rsidP="00FF1BA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F4E">
        <w:rPr>
          <w:rFonts w:ascii="Times New Roman" w:hAnsi="Times New Roman"/>
          <w:sz w:val="28"/>
          <w:szCs w:val="28"/>
        </w:rPr>
        <w:t>Требование заказа необходимых работ у подконтрольных коммерческих структур</w:t>
      </w:r>
      <w:r>
        <w:rPr>
          <w:rFonts w:ascii="Times New Roman" w:hAnsi="Times New Roman"/>
          <w:sz w:val="28"/>
          <w:szCs w:val="28"/>
        </w:rPr>
        <w:t xml:space="preserve"> – 6%;</w:t>
      </w:r>
    </w:p>
    <w:p w:rsidR="00996C0E" w:rsidRDefault="00996C0E" w:rsidP="004E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790" w:rsidRDefault="00FF1BAB" w:rsidP="004E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отметить, что</w:t>
      </w:r>
      <w:r w:rsidR="004E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38%</w:t>
      </w:r>
      <w:r w:rsidR="004E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респондентов </w:t>
      </w:r>
      <w:r w:rsidR="004E3790">
        <w:rPr>
          <w:rFonts w:ascii="Times New Roman" w:hAnsi="Times New Roman"/>
          <w:sz w:val="28"/>
          <w:szCs w:val="28"/>
        </w:rPr>
        <w:t>не сталкивались с подобными проблемами.</w:t>
      </w:r>
    </w:p>
    <w:p w:rsidR="00996C0E" w:rsidRDefault="00996C0E" w:rsidP="004E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790" w:rsidRDefault="00CF4C85" w:rsidP="004E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4E3790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4E3790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4E3790">
        <w:rPr>
          <w:rFonts w:ascii="Times New Roman" w:hAnsi="Times New Roman"/>
          <w:sz w:val="28"/>
          <w:szCs w:val="28"/>
        </w:rPr>
        <w:t xml:space="preserve"> не сталкивались </w:t>
      </w:r>
      <w:r w:rsidR="004E3790" w:rsidRPr="00EB0020">
        <w:rPr>
          <w:rFonts w:ascii="Times New Roman" w:hAnsi="Times New Roman"/>
          <w:sz w:val="28"/>
          <w:szCs w:val="28"/>
        </w:rPr>
        <w:t xml:space="preserve">с дискриминационными  условиями доступа на товарный рынок, основной для бизнеса, который </w:t>
      </w:r>
      <w:r w:rsidR="004E3790">
        <w:rPr>
          <w:rFonts w:ascii="Times New Roman" w:hAnsi="Times New Roman"/>
          <w:sz w:val="28"/>
          <w:szCs w:val="28"/>
        </w:rPr>
        <w:t xml:space="preserve">они представляет, </w:t>
      </w:r>
      <w:r w:rsidR="00943E2C">
        <w:rPr>
          <w:rFonts w:ascii="Times New Roman" w:hAnsi="Times New Roman"/>
          <w:sz w:val="28"/>
          <w:szCs w:val="28"/>
        </w:rPr>
        <w:t>6</w:t>
      </w:r>
      <w:r w:rsidR="00484B08">
        <w:rPr>
          <w:rFonts w:ascii="Times New Roman" w:hAnsi="Times New Roman"/>
          <w:sz w:val="28"/>
          <w:szCs w:val="28"/>
        </w:rPr>
        <w:t xml:space="preserve">% сталкивались с ценовой дискриминацией, </w:t>
      </w:r>
      <w:r w:rsidR="004E3790">
        <w:rPr>
          <w:rFonts w:ascii="Times New Roman" w:hAnsi="Times New Roman"/>
          <w:sz w:val="28"/>
          <w:szCs w:val="28"/>
        </w:rPr>
        <w:t>остальные затруднились ответить.</w:t>
      </w:r>
    </w:p>
    <w:p w:rsidR="004E3790" w:rsidRDefault="004E3790" w:rsidP="005D3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CF5" w:rsidRDefault="00D61795" w:rsidP="005A6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2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в части оценки услуг естественных монополий был проведен также и среди потребителей.</w:t>
      </w:r>
    </w:p>
    <w:p w:rsidR="005A6041" w:rsidRDefault="005A6041" w:rsidP="005A6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795" w:rsidRPr="00332725" w:rsidRDefault="00D61795" w:rsidP="00D6179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ru-RU"/>
        </w:rPr>
        <w:t xml:space="preserve">Таблица </w:t>
      </w:r>
      <w:r w:rsidR="00484B08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ru-RU"/>
        </w:rPr>
        <w:t>5</w:t>
      </w:r>
    </w:p>
    <w:p w:rsidR="00D61795" w:rsidRPr="00E36EE8" w:rsidRDefault="00D61795" w:rsidP="00D617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Качество услуг субъектов естественных монополий</w:t>
      </w:r>
    </w:p>
    <w:p w:rsidR="00D61795" w:rsidRPr="00332725" w:rsidRDefault="00D61795" w:rsidP="00D617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559"/>
        <w:gridCol w:w="1559"/>
        <w:gridCol w:w="1560"/>
        <w:gridCol w:w="1559"/>
      </w:tblGrid>
      <w:tr w:rsidR="000C0216" w:rsidRPr="00CB3B37" w:rsidTr="0041546D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9917B3" w:rsidRDefault="000C0216" w:rsidP="00A214D3">
            <w:pPr>
              <w:widowControl w:val="0"/>
              <w:spacing w:after="0" w:line="240" w:lineRule="auto"/>
              <w:ind w:left="-70" w:right="-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9917B3" w:rsidRDefault="000C0216" w:rsidP="00A214D3">
            <w:pPr>
              <w:widowControl w:val="0"/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9917B3" w:rsidRDefault="000C0216" w:rsidP="00A214D3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Скорее не удовлетворительно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9917B3" w:rsidRDefault="000C0216" w:rsidP="00A214D3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15" w:rsidRPr="009917B3" w:rsidRDefault="00ED3E15" w:rsidP="00ED3E15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Затрудняюсь</w:t>
            </w:r>
          </w:p>
          <w:p w:rsidR="000C0216" w:rsidRPr="009917B3" w:rsidRDefault="00ED3E15" w:rsidP="00ED3E15">
            <w:pPr>
              <w:pStyle w:val="a9"/>
              <w:widowControl w:val="0"/>
              <w:spacing w:after="0" w:line="240" w:lineRule="auto"/>
              <w:ind w:left="-70" w:right="-108" w:hanging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17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ответить</w:t>
            </w:r>
          </w:p>
        </w:tc>
      </w:tr>
      <w:tr w:rsidR="000C0216" w:rsidRPr="00CB3B37" w:rsidTr="00415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767C64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CB3B37" w:rsidRDefault="00767C64" w:rsidP="003A6486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6486">
              <w:rPr>
                <w:rFonts w:ascii="Times New Roman" w:hAnsi="Times New Roman"/>
                <w:sz w:val="24"/>
                <w:szCs w:val="24"/>
              </w:rPr>
              <w:t>5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767C64" w:rsidP="003A6486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486">
              <w:rPr>
                <w:rFonts w:ascii="Times New Roman" w:hAnsi="Times New Roman"/>
                <w:sz w:val="24"/>
                <w:szCs w:val="24"/>
              </w:rPr>
              <w:t>3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16" w:rsidRDefault="003A6486" w:rsidP="00767C6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D3E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0216" w:rsidRPr="00CB3B37" w:rsidTr="00415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CB3B37" w:rsidRDefault="00767C64" w:rsidP="003A6486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6486">
              <w:rPr>
                <w:rFonts w:ascii="Times New Roman" w:hAnsi="Times New Roman"/>
                <w:sz w:val="24"/>
                <w:szCs w:val="24"/>
              </w:rPr>
              <w:t>3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767C64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16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D3E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0216" w:rsidRPr="00CB3B37" w:rsidTr="00415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CB3B37" w:rsidRDefault="00767C64" w:rsidP="00C45F91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5F91">
              <w:rPr>
                <w:rFonts w:ascii="Times New Roman" w:hAnsi="Times New Roman"/>
                <w:sz w:val="24"/>
                <w:szCs w:val="24"/>
              </w:rPr>
              <w:t>2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0C0216" w:rsidRPr="00E063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16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D3E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0216" w:rsidRPr="00CB3B37" w:rsidTr="004154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16" w:rsidRDefault="003A6486" w:rsidP="00C45F91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F91">
              <w:rPr>
                <w:rFonts w:ascii="Times New Roman" w:hAnsi="Times New Roman"/>
                <w:sz w:val="24"/>
                <w:szCs w:val="24"/>
              </w:rPr>
              <w:t>2</w:t>
            </w:r>
            <w:r w:rsidR="00990E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0216" w:rsidRPr="00933CDB" w:rsidTr="0041546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 w:rsidRPr="00CB3B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BD1CD4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C0216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90E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0216" w:rsidRPr="00933CDB" w:rsidTr="0041546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16" w:rsidRPr="00CB3B37" w:rsidRDefault="000C0216" w:rsidP="00DF13BF">
            <w:pPr>
              <w:spacing w:after="0" w:line="240" w:lineRule="auto"/>
              <w:ind w:left="-7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C45F91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5F91">
              <w:rPr>
                <w:rFonts w:ascii="Times New Roman" w:hAnsi="Times New Roman"/>
                <w:sz w:val="24"/>
                <w:szCs w:val="24"/>
              </w:rPr>
              <w:t>4</w:t>
            </w:r>
            <w:r w:rsidR="000C0216" w:rsidRPr="00CB3B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6" w:rsidRPr="00CB3B37" w:rsidRDefault="003A6486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C02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C0216" w:rsidRDefault="00C45F91" w:rsidP="00A214D3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90E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61795" w:rsidRDefault="00D61795" w:rsidP="00D617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064D4" w:rsidRPr="00E064D4" w:rsidRDefault="005A6041" w:rsidP="00E064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В целом, качество услуг субъектов естественных монополий потребители оценивают как удовлетворительное </w:t>
      </w:r>
      <w:r w:rsidR="00914B11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или скорее удовлетворительное.</w:t>
      </w:r>
    </w:p>
    <w:p w:rsidR="003C4D83" w:rsidRDefault="003C4D83" w:rsidP="005A6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A57" w:rsidRDefault="003D2A57" w:rsidP="003D2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проблем, с которыми столкнулись респонденты при взаимодействии с субъектами естественных монополий, выделяются следующие:</w:t>
      </w:r>
    </w:p>
    <w:p w:rsidR="006C4983" w:rsidRDefault="006C4983" w:rsidP="006C498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Навязывание дополнительных услуг – 15%;</w:t>
      </w:r>
    </w:p>
    <w:p w:rsidR="003D2A57" w:rsidRDefault="003D2A57" w:rsidP="003D2A5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Взимание дополнительной платы – </w:t>
      </w:r>
      <w:r w:rsidR="004739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%;</w:t>
      </w:r>
    </w:p>
    <w:p w:rsidR="003D2A57" w:rsidRDefault="003D2A57" w:rsidP="003D2A5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EF2">
        <w:rPr>
          <w:rFonts w:ascii="Times New Roman" w:hAnsi="Times New Roman"/>
          <w:sz w:val="28"/>
          <w:szCs w:val="28"/>
        </w:rPr>
        <w:t xml:space="preserve">Проблемы с заменой приборов учета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C49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%;</w:t>
      </w:r>
    </w:p>
    <w:p w:rsidR="00996C0E" w:rsidRDefault="00996C0E" w:rsidP="003D2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A57" w:rsidRDefault="003D2A57" w:rsidP="003D2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необходимо отметить, что </w:t>
      </w:r>
      <w:r w:rsidR="0047393D">
        <w:rPr>
          <w:rFonts w:ascii="Times New Roman" w:hAnsi="Times New Roman"/>
          <w:sz w:val="28"/>
          <w:szCs w:val="28"/>
        </w:rPr>
        <w:t>4</w:t>
      </w:r>
      <w:r w:rsidR="006C49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респондентов не сталкивались с подобными проблемами.</w:t>
      </w:r>
    </w:p>
    <w:p w:rsidR="002A2D2B" w:rsidRDefault="005B3D8F" w:rsidP="00BF3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0802">
        <w:rPr>
          <w:rFonts w:ascii="Times New Roman" w:hAnsi="Times New Roman"/>
          <w:b/>
          <w:sz w:val="28"/>
          <w:szCs w:val="28"/>
        </w:rPr>
        <w:lastRenderedPageBreak/>
        <w:t>Ежегодный мониторинг доступности финансовых услуг и удовлетворенности населения деятельностью в сфере финансовых услуг</w:t>
      </w:r>
    </w:p>
    <w:p w:rsidR="00BF3F58" w:rsidRPr="00BF3F58" w:rsidRDefault="00BF3F58" w:rsidP="00BF3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583" w:rsidRDefault="002A2D2B" w:rsidP="00BF3F58">
      <w:pPr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По результатам опроса,</w:t>
      </w:r>
      <w:r w:rsidRPr="002A2D2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 w:rsidR="00DD455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большинство </w:t>
      </w:r>
      <w:r w:rsidRPr="002A2D2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потребител</w:t>
      </w:r>
      <w:r w:rsidR="00DD4554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ей</w:t>
      </w:r>
      <w:r w:rsidRPr="002A2D2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редко пользуются услугами финансовых организаций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, что отражено на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рисунке</w:t>
      </w:r>
      <w:proofErr w:type="gramEnd"/>
      <w:r w:rsidR="005A6C5C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13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ниже</w:t>
      </w:r>
      <w:r w:rsidRPr="002A2D2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.</w:t>
      </w:r>
    </w:p>
    <w:p w:rsidR="00594AA2" w:rsidRDefault="00594AA2" w:rsidP="005B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6FFE7F" wp14:editId="0E831B51">
            <wp:extent cx="5516880" cy="1501140"/>
            <wp:effectExtent l="0" t="19050" r="762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22429" w:rsidRDefault="00822429" w:rsidP="00822429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030454" w:rsidRPr="00BF3F58" w:rsidRDefault="00594AA2" w:rsidP="005755F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</w:t>
      </w:r>
      <w:r w:rsidR="005A6C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</w:t>
      </w:r>
      <w:r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Оценка 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частоты использования услуг финансовых организаций потребителями</w:t>
      </w:r>
      <w:r w:rsidRPr="009E0A6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в Фурмановском муниципальном районе</w:t>
      </w:r>
    </w:p>
    <w:p w:rsidR="00822429" w:rsidRDefault="00822429" w:rsidP="005755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575A" w:rsidRPr="009B1CAD" w:rsidRDefault="00030454" w:rsidP="009B1C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анализу наиболее востребованных финансовых продуктов, результаты разделились следующим образом:</w:t>
      </w:r>
    </w:p>
    <w:p w:rsidR="00030454" w:rsidRPr="00D83227" w:rsidRDefault="00030454" w:rsidP="0005575A">
      <w:pPr>
        <w:ind w:firstLine="708"/>
        <w:jc w:val="right"/>
        <w:rPr>
          <w:rFonts w:ascii="Times New Roman" w:hAnsi="Times New Roman"/>
          <w:i/>
          <w:sz w:val="24"/>
          <w:szCs w:val="28"/>
        </w:rPr>
      </w:pPr>
      <w:r w:rsidRPr="00D83227">
        <w:rPr>
          <w:rFonts w:ascii="Times New Roman" w:hAnsi="Times New Roman"/>
          <w:i/>
          <w:sz w:val="24"/>
          <w:szCs w:val="28"/>
        </w:rPr>
        <w:t xml:space="preserve">Таблица </w:t>
      </w:r>
      <w:r w:rsidR="00484B08">
        <w:rPr>
          <w:rFonts w:ascii="Times New Roman" w:hAnsi="Times New Roman"/>
          <w:i/>
          <w:sz w:val="24"/>
          <w:szCs w:val="28"/>
        </w:rPr>
        <w:t>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233FAE" w:rsidTr="0092283F">
        <w:trPr>
          <w:trHeight w:val="360"/>
        </w:trPr>
        <w:tc>
          <w:tcPr>
            <w:tcW w:w="7196" w:type="dxa"/>
            <w:vAlign w:val="center"/>
          </w:tcPr>
          <w:p w:rsidR="00233FAE" w:rsidRPr="00D83227" w:rsidRDefault="00233FAE" w:rsidP="003745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83227">
              <w:rPr>
                <w:rFonts w:ascii="Times New Roman" w:hAnsi="Times New Roman"/>
                <w:b/>
                <w:sz w:val="24"/>
                <w:szCs w:val="28"/>
              </w:rPr>
              <w:t>Наиболее популярные выборы респондентов</w:t>
            </w:r>
          </w:p>
        </w:tc>
        <w:tc>
          <w:tcPr>
            <w:tcW w:w="2375" w:type="dxa"/>
            <w:vAlign w:val="center"/>
          </w:tcPr>
          <w:p w:rsidR="00233FAE" w:rsidRPr="00D83227" w:rsidRDefault="00233FAE" w:rsidP="003745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83227">
              <w:rPr>
                <w:rFonts w:ascii="Times New Roman" w:hAnsi="Times New Roman"/>
                <w:b/>
                <w:sz w:val="24"/>
                <w:szCs w:val="28"/>
              </w:rPr>
              <w:t>Доля респондентов</w:t>
            </w:r>
          </w:p>
        </w:tc>
      </w:tr>
      <w:tr w:rsidR="00233FAE" w:rsidTr="00374525">
        <w:trPr>
          <w:trHeight w:val="648"/>
        </w:trPr>
        <w:tc>
          <w:tcPr>
            <w:tcW w:w="9571" w:type="dxa"/>
            <w:gridSpan w:val="2"/>
            <w:shd w:val="clear" w:color="auto" w:fill="D6E3BC" w:themeFill="accent3" w:themeFillTint="66"/>
            <w:vAlign w:val="center"/>
          </w:tcPr>
          <w:p w:rsidR="00233FAE" w:rsidRPr="00D83227" w:rsidRDefault="00233FAE" w:rsidP="00A214D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Имеющийся</w:t>
            </w:r>
            <w:r w:rsidR="00374525">
              <w:rPr>
                <w:rFonts w:ascii="Times New Roman" w:hAnsi="Times New Roman"/>
                <w:sz w:val="24"/>
                <w:szCs w:val="28"/>
              </w:rPr>
              <w:t xml:space="preserve"> сейчас </w:t>
            </w:r>
            <w:r w:rsidR="00A214D3">
              <w:rPr>
                <w:rFonts w:ascii="Times New Roman" w:hAnsi="Times New Roman"/>
                <w:sz w:val="24"/>
                <w:szCs w:val="28"/>
              </w:rPr>
              <w:t>/</w:t>
            </w:r>
            <w:r w:rsidR="00374525">
              <w:rPr>
                <w:rFonts w:ascii="Times New Roman" w:hAnsi="Times New Roman"/>
                <w:sz w:val="24"/>
                <w:szCs w:val="28"/>
              </w:rPr>
              <w:t xml:space="preserve"> за последний год</w:t>
            </w:r>
            <w:r w:rsidRPr="00D83227">
              <w:rPr>
                <w:rFonts w:ascii="Times New Roman" w:hAnsi="Times New Roman"/>
                <w:sz w:val="24"/>
                <w:szCs w:val="28"/>
              </w:rPr>
              <w:t xml:space="preserve"> финансовый продукт (вклады)</w:t>
            </w:r>
          </w:p>
        </w:tc>
      </w:tr>
      <w:tr w:rsidR="00030454" w:rsidTr="00D57D2A">
        <w:trPr>
          <w:trHeight w:val="318"/>
        </w:trPr>
        <w:tc>
          <w:tcPr>
            <w:tcW w:w="7196" w:type="dxa"/>
            <w:vAlign w:val="center"/>
          </w:tcPr>
          <w:p w:rsidR="00030454" w:rsidRPr="00D83227" w:rsidRDefault="00030454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Банковский вклад</w:t>
            </w:r>
          </w:p>
        </w:tc>
        <w:tc>
          <w:tcPr>
            <w:tcW w:w="2375" w:type="dxa"/>
            <w:vAlign w:val="center"/>
          </w:tcPr>
          <w:p w:rsidR="00030454" w:rsidRPr="00D83227" w:rsidRDefault="008F3C09" w:rsidP="008F3C0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  <w:r w:rsidR="00030454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A214D3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D57D2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57D2A" w:rsidTr="00D57D2A">
        <w:trPr>
          <w:trHeight w:val="318"/>
        </w:trPr>
        <w:tc>
          <w:tcPr>
            <w:tcW w:w="7196" w:type="dxa"/>
            <w:vAlign w:val="center"/>
          </w:tcPr>
          <w:p w:rsidR="00D57D2A" w:rsidRPr="00D83227" w:rsidRDefault="00D57D2A" w:rsidP="007B100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57D2A">
              <w:rPr>
                <w:rFonts w:ascii="Times New Roman" w:hAnsi="Times New Roman"/>
                <w:sz w:val="24"/>
                <w:szCs w:val="28"/>
              </w:rPr>
              <w:t>Договор на размещение сре</w:t>
            </w:r>
            <w:proofErr w:type="gramStart"/>
            <w:r w:rsidRPr="00D57D2A">
              <w:rPr>
                <w:rFonts w:ascii="Times New Roman" w:hAnsi="Times New Roman"/>
                <w:sz w:val="24"/>
                <w:szCs w:val="28"/>
              </w:rPr>
              <w:t>дств в ф</w:t>
            </w:r>
            <w:proofErr w:type="gramEnd"/>
            <w:r w:rsidRPr="00D57D2A">
              <w:rPr>
                <w:rFonts w:ascii="Times New Roman" w:hAnsi="Times New Roman"/>
                <w:sz w:val="24"/>
                <w:szCs w:val="28"/>
              </w:rPr>
              <w:t xml:space="preserve">орме займа в </w:t>
            </w:r>
            <w:r w:rsidR="007B1008">
              <w:rPr>
                <w:rFonts w:ascii="Times New Roman" w:hAnsi="Times New Roman"/>
                <w:sz w:val="24"/>
                <w:szCs w:val="28"/>
              </w:rPr>
              <w:t>МФО</w:t>
            </w:r>
          </w:p>
        </w:tc>
        <w:tc>
          <w:tcPr>
            <w:tcW w:w="2375" w:type="dxa"/>
            <w:vAlign w:val="center"/>
          </w:tcPr>
          <w:p w:rsidR="00D57D2A" w:rsidRDefault="008F3C09" w:rsidP="005B66E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D57D2A">
              <w:rPr>
                <w:rFonts w:ascii="Times New Roman" w:hAnsi="Times New Roman"/>
                <w:sz w:val="24"/>
                <w:szCs w:val="28"/>
              </w:rPr>
              <w:t xml:space="preserve">% / </w:t>
            </w:r>
            <w:r w:rsidR="005B66E0">
              <w:rPr>
                <w:rFonts w:ascii="Times New Roman" w:hAnsi="Times New Roman"/>
                <w:sz w:val="24"/>
                <w:szCs w:val="28"/>
              </w:rPr>
              <w:t>2</w:t>
            </w:r>
            <w:r w:rsidR="00D57D2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57D2A" w:rsidTr="00D57D2A">
        <w:trPr>
          <w:trHeight w:val="318"/>
        </w:trPr>
        <w:tc>
          <w:tcPr>
            <w:tcW w:w="7196" w:type="dxa"/>
            <w:vAlign w:val="center"/>
          </w:tcPr>
          <w:p w:rsidR="00D57D2A" w:rsidRPr="00D57D2A" w:rsidRDefault="00D57D2A" w:rsidP="007B100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57D2A">
              <w:rPr>
                <w:rFonts w:ascii="Times New Roman" w:hAnsi="Times New Roman"/>
                <w:sz w:val="24"/>
                <w:szCs w:val="28"/>
              </w:rPr>
              <w:t>Договор на размещение сре</w:t>
            </w:r>
            <w:proofErr w:type="gramStart"/>
            <w:r w:rsidRPr="00D57D2A">
              <w:rPr>
                <w:rFonts w:ascii="Times New Roman" w:hAnsi="Times New Roman"/>
                <w:sz w:val="24"/>
                <w:szCs w:val="28"/>
              </w:rPr>
              <w:t>дств в ф</w:t>
            </w:r>
            <w:proofErr w:type="gramEnd"/>
            <w:r w:rsidRPr="00D57D2A">
              <w:rPr>
                <w:rFonts w:ascii="Times New Roman" w:hAnsi="Times New Roman"/>
                <w:sz w:val="24"/>
                <w:szCs w:val="28"/>
              </w:rPr>
              <w:t xml:space="preserve">орме займа в </w:t>
            </w:r>
            <w:r w:rsidR="007B1008">
              <w:rPr>
                <w:rFonts w:ascii="Times New Roman" w:hAnsi="Times New Roman"/>
                <w:sz w:val="24"/>
                <w:szCs w:val="28"/>
              </w:rPr>
              <w:t>КПК</w:t>
            </w:r>
          </w:p>
        </w:tc>
        <w:tc>
          <w:tcPr>
            <w:tcW w:w="2375" w:type="dxa"/>
            <w:vAlign w:val="center"/>
          </w:tcPr>
          <w:p w:rsidR="00D57D2A" w:rsidRDefault="008F3C09" w:rsidP="008F3C0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D57D2A">
              <w:rPr>
                <w:rFonts w:ascii="Times New Roman" w:hAnsi="Times New Roman"/>
                <w:sz w:val="24"/>
                <w:szCs w:val="28"/>
              </w:rPr>
              <w:t xml:space="preserve">% /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D57D2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57D2A" w:rsidTr="00D57D2A">
        <w:trPr>
          <w:trHeight w:val="318"/>
        </w:trPr>
        <w:tc>
          <w:tcPr>
            <w:tcW w:w="7196" w:type="dxa"/>
            <w:vAlign w:val="center"/>
          </w:tcPr>
          <w:p w:rsidR="00D57D2A" w:rsidRPr="00D57D2A" w:rsidRDefault="00D57D2A" w:rsidP="007B100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57D2A">
              <w:rPr>
                <w:rFonts w:ascii="Times New Roman" w:hAnsi="Times New Roman"/>
                <w:sz w:val="24"/>
                <w:szCs w:val="28"/>
              </w:rPr>
              <w:t>Договор на размещение сре</w:t>
            </w:r>
            <w:proofErr w:type="gramStart"/>
            <w:r w:rsidRPr="00D57D2A">
              <w:rPr>
                <w:rFonts w:ascii="Times New Roman" w:hAnsi="Times New Roman"/>
                <w:sz w:val="24"/>
                <w:szCs w:val="28"/>
              </w:rPr>
              <w:t>дств в ф</w:t>
            </w:r>
            <w:proofErr w:type="gramEnd"/>
            <w:r w:rsidRPr="00D57D2A">
              <w:rPr>
                <w:rFonts w:ascii="Times New Roman" w:hAnsi="Times New Roman"/>
                <w:sz w:val="24"/>
                <w:szCs w:val="28"/>
              </w:rPr>
              <w:t xml:space="preserve">орме займа в </w:t>
            </w:r>
            <w:r w:rsidR="007B1008">
              <w:rPr>
                <w:rFonts w:ascii="Times New Roman" w:hAnsi="Times New Roman"/>
                <w:sz w:val="24"/>
                <w:szCs w:val="28"/>
              </w:rPr>
              <w:t>СКПК</w:t>
            </w:r>
          </w:p>
        </w:tc>
        <w:tc>
          <w:tcPr>
            <w:tcW w:w="2375" w:type="dxa"/>
            <w:vAlign w:val="center"/>
          </w:tcPr>
          <w:p w:rsidR="00D57D2A" w:rsidRDefault="005B66E0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 / 2</w:t>
            </w:r>
            <w:r w:rsidR="00D57D2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57D2A" w:rsidTr="00D57D2A">
        <w:trPr>
          <w:trHeight w:val="318"/>
        </w:trPr>
        <w:tc>
          <w:tcPr>
            <w:tcW w:w="7196" w:type="dxa"/>
            <w:vAlign w:val="center"/>
          </w:tcPr>
          <w:p w:rsidR="00D57D2A" w:rsidRPr="00D57D2A" w:rsidRDefault="00D57D2A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57D2A">
              <w:rPr>
                <w:rFonts w:ascii="Times New Roman" w:hAnsi="Times New Roman"/>
                <w:sz w:val="24"/>
                <w:szCs w:val="28"/>
              </w:rPr>
              <w:t>Индивидуальный инвестиционный счет</w:t>
            </w:r>
          </w:p>
        </w:tc>
        <w:tc>
          <w:tcPr>
            <w:tcW w:w="2375" w:type="dxa"/>
            <w:vAlign w:val="center"/>
          </w:tcPr>
          <w:p w:rsidR="00D57D2A" w:rsidRDefault="008F3C09" w:rsidP="005B66E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D57D2A">
              <w:rPr>
                <w:rFonts w:ascii="Times New Roman" w:hAnsi="Times New Roman"/>
                <w:sz w:val="24"/>
                <w:szCs w:val="28"/>
              </w:rPr>
              <w:t xml:space="preserve">% / </w:t>
            </w:r>
            <w:r w:rsidR="005B66E0">
              <w:rPr>
                <w:rFonts w:ascii="Times New Roman" w:hAnsi="Times New Roman"/>
                <w:sz w:val="24"/>
                <w:szCs w:val="28"/>
              </w:rPr>
              <w:t>0</w:t>
            </w:r>
            <w:r w:rsidR="00D57D2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636D" w:rsidTr="00D57D2A">
        <w:trPr>
          <w:trHeight w:val="318"/>
        </w:trPr>
        <w:tc>
          <w:tcPr>
            <w:tcW w:w="7196" w:type="dxa"/>
            <w:vAlign w:val="center"/>
          </w:tcPr>
          <w:p w:rsidR="0099636D" w:rsidRPr="00D57D2A" w:rsidRDefault="0099636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636D">
              <w:rPr>
                <w:rFonts w:ascii="Times New Roman" w:hAnsi="Times New Roman"/>
                <w:sz w:val="24"/>
                <w:szCs w:val="28"/>
              </w:rPr>
              <w:t>Инвестиционное страхование жизни</w:t>
            </w:r>
          </w:p>
        </w:tc>
        <w:tc>
          <w:tcPr>
            <w:tcW w:w="2375" w:type="dxa"/>
            <w:vAlign w:val="center"/>
          </w:tcPr>
          <w:p w:rsidR="0099636D" w:rsidRDefault="008F3C09" w:rsidP="0099636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 / 0</w:t>
            </w:r>
            <w:r w:rsidR="0099636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636D" w:rsidTr="00D57D2A">
        <w:trPr>
          <w:trHeight w:val="318"/>
        </w:trPr>
        <w:tc>
          <w:tcPr>
            <w:tcW w:w="7196" w:type="dxa"/>
            <w:vAlign w:val="center"/>
          </w:tcPr>
          <w:p w:rsidR="0099636D" w:rsidRPr="0099636D" w:rsidRDefault="0099636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636D">
              <w:rPr>
                <w:rFonts w:ascii="Times New Roman" w:hAnsi="Times New Roman"/>
                <w:sz w:val="24"/>
                <w:szCs w:val="28"/>
              </w:rPr>
              <w:t>Брокерский счет</w:t>
            </w:r>
          </w:p>
        </w:tc>
        <w:tc>
          <w:tcPr>
            <w:tcW w:w="2375" w:type="dxa"/>
            <w:vAlign w:val="center"/>
          </w:tcPr>
          <w:p w:rsidR="0099636D" w:rsidRDefault="008F3C09" w:rsidP="008F3C0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B66E0">
              <w:rPr>
                <w:rFonts w:ascii="Times New Roman" w:hAnsi="Times New Roman"/>
                <w:sz w:val="24"/>
                <w:szCs w:val="28"/>
              </w:rPr>
              <w:t xml:space="preserve">% /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99636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636D" w:rsidTr="00D57D2A">
        <w:trPr>
          <w:trHeight w:val="318"/>
        </w:trPr>
        <w:tc>
          <w:tcPr>
            <w:tcW w:w="7196" w:type="dxa"/>
            <w:vAlign w:val="center"/>
          </w:tcPr>
          <w:p w:rsidR="0099636D" w:rsidRPr="0099636D" w:rsidRDefault="0099636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636D">
              <w:rPr>
                <w:rFonts w:ascii="Times New Roman" w:hAnsi="Times New Roman"/>
                <w:sz w:val="24"/>
                <w:szCs w:val="28"/>
              </w:rPr>
              <w:t>Вложение сре</w:t>
            </w:r>
            <w:proofErr w:type="gramStart"/>
            <w:r w:rsidRPr="0099636D">
              <w:rPr>
                <w:rFonts w:ascii="Times New Roman" w:hAnsi="Times New Roman"/>
                <w:sz w:val="24"/>
                <w:szCs w:val="28"/>
              </w:rPr>
              <w:t>дств в п</w:t>
            </w:r>
            <w:proofErr w:type="gramEnd"/>
            <w:r w:rsidRPr="0099636D">
              <w:rPr>
                <w:rFonts w:ascii="Times New Roman" w:hAnsi="Times New Roman"/>
                <w:sz w:val="24"/>
                <w:szCs w:val="28"/>
              </w:rPr>
              <w:t>аевой инвестиционный фонд</w:t>
            </w:r>
          </w:p>
        </w:tc>
        <w:tc>
          <w:tcPr>
            <w:tcW w:w="2375" w:type="dxa"/>
            <w:vAlign w:val="center"/>
          </w:tcPr>
          <w:p w:rsidR="0099636D" w:rsidRDefault="008F3C09" w:rsidP="0099636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B66E0">
              <w:rPr>
                <w:rFonts w:ascii="Times New Roman" w:hAnsi="Times New Roman"/>
                <w:sz w:val="24"/>
                <w:szCs w:val="28"/>
              </w:rPr>
              <w:t>% / 0</w:t>
            </w:r>
            <w:r w:rsidR="0099636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33FAE" w:rsidTr="00374525">
        <w:trPr>
          <w:trHeight w:val="667"/>
        </w:trPr>
        <w:tc>
          <w:tcPr>
            <w:tcW w:w="9571" w:type="dxa"/>
            <w:gridSpan w:val="2"/>
            <w:shd w:val="clear" w:color="auto" w:fill="FDE9D9" w:themeFill="accent6" w:themeFillTint="33"/>
            <w:vAlign w:val="center"/>
          </w:tcPr>
          <w:p w:rsidR="00233FAE" w:rsidRPr="00D83227" w:rsidRDefault="00233FAE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Причина отсутствия финансовых продуктов</w:t>
            </w:r>
          </w:p>
        </w:tc>
      </w:tr>
      <w:tr w:rsidR="00233FAE" w:rsidTr="00D57D2A">
        <w:trPr>
          <w:trHeight w:val="317"/>
        </w:trPr>
        <w:tc>
          <w:tcPr>
            <w:tcW w:w="7196" w:type="dxa"/>
          </w:tcPr>
          <w:p w:rsidR="00233FAE" w:rsidRPr="00D83227" w:rsidRDefault="00233FAE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Недостаточно свободных денег</w:t>
            </w:r>
          </w:p>
        </w:tc>
        <w:tc>
          <w:tcPr>
            <w:tcW w:w="2375" w:type="dxa"/>
          </w:tcPr>
          <w:p w:rsidR="00233FAE" w:rsidRPr="00D83227" w:rsidRDefault="00530CE9" w:rsidP="00D6007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D60077">
              <w:rPr>
                <w:rFonts w:ascii="Times New Roman" w:hAnsi="Times New Roman"/>
                <w:sz w:val="24"/>
                <w:szCs w:val="28"/>
              </w:rPr>
              <w:t>4</w:t>
            </w:r>
            <w:r w:rsidR="00233FAE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636D" w:rsidTr="00D57D2A">
        <w:trPr>
          <w:trHeight w:val="317"/>
        </w:trPr>
        <w:tc>
          <w:tcPr>
            <w:tcW w:w="7196" w:type="dxa"/>
          </w:tcPr>
          <w:p w:rsidR="0099636D" w:rsidRPr="00D83227" w:rsidRDefault="0099636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636D">
              <w:rPr>
                <w:rFonts w:ascii="Times New Roman" w:hAnsi="Times New Roman"/>
                <w:sz w:val="24"/>
                <w:szCs w:val="28"/>
              </w:rPr>
              <w:t>Данными услугами уже пользуются другие члены моей семьи</w:t>
            </w:r>
          </w:p>
        </w:tc>
        <w:tc>
          <w:tcPr>
            <w:tcW w:w="2375" w:type="dxa"/>
          </w:tcPr>
          <w:p w:rsidR="0099636D" w:rsidRDefault="00D60077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99636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9636D" w:rsidTr="00D57D2A">
        <w:trPr>
          <w:trHeight w:val="317"/>
        </w:trPr>
        <w:tc>
          <w:tcPr>
            <w:tcW w:w="7196" w:type="dxa"/>
          </w:tcPr>
          <w:p w:rsidR="0099636D" w:rsidRPr="0099636D" w:rsidRDefault="0099636D" w:rsidP="0099636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636D">
              <w:rPr>
                <w:rFonts w:ascii="Times New Roman" w:hAnsi="Times New Roman"/>
                <w:sz w:val="24"/>
                <w:szCs w:val="28"/>
              </w:rPr>
              <w:t>Я не доверяю финансовым организациям в дос</w:t>
            </w:r>
            <w:r>
              <w:rPr>
                <w:rFonts w:ascii="Times New Roman" w:hAnsi="Times New Roman"/>
                <w:sz w:val="24"/>
                <w:szCs w:val="28"/>
              </w:rPr>
              <w:t>таточной степени</w:t>
            </w:r>
          </w:p>
        </w:tc>
        <w:tc>
          <w:tcPr>
            <w:tcW w:w="2375" w:type="dxa"/>
          </w:tcPr>
          <w:p w:rsidR="0099636D" w:rsidRDefault="00D60077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99636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33FAE" w:rsidTr="00374525">
        <w:trPr>
          <w:trHeight w:val="649"/>
        </w:trPr>
        <w:tc>
          <w:tcPr>
            <w:tcW w:w="9571" w:type="dxa"/>
            <w:gridSpan w:val="2"/>
            <w:shd w:val="clear" w:color="auto" w:fill="D6E3BC" w:themeFill="accent3" w:themeFillTint="66"/>
            <w:vAlign w:val="center"/>
          </w:tcPr>
          <w:p w:rsidR="00233FAE" w:rsidRPr="00D83227" w:rsidRDefault="00233FAE" w:rsidP="000F22C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 xml:space="preserve">Имеющийся </w:t>
            </w:r>
            <w:r w:rsidR="00822429">
              <w:rPr>
                <w:rFonts w:ascii="Times New Roman" w:hAnsi="Times New Roman"/>
                <w:sz w:val="24"/>
                <w:szCs w:val="28"/>
              </w:rPr>
              <w:t xml:space="preserve">сейчас </w:t>
            </w:r>
            <w:r w:rsidR="000F22C1">
              <w:rPr>
                <w:rFonts w:ascii="Times New Roman" w:hAnsi="Times New Roman"/>
                <w:sz w:val="24"/>
                <w:szCs w:val="28"/>
              </w:rPr>
              <w:t>/</w:t>
            </w:r>
            <w:r w:rsidR="00822429">
              <w:rPr>
                <w:rFonts w:ascii="Times New Roman" w:hAnsi="Times New Roman"/>
                <w:sz w:val="24"/>
                <w:szCs w:val="28"/>
              </w:rPr>
              <w:t xml:space="preserve"> за последний год</w:t>
            </w:r>
            <w:r w:rsidR="00822429" w:rsidRPr="00D832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30CE9">
              <w:rPr>
                <w:rFonts w:ascii="Times New Roman" w:hAnsi="Times New Roman"/>
                <w:sz w:val="24"/>
                <w:szCs w:val="28"/>
              </w:rPr>
              <w:t>финансовый продукт (зай</w:t>
            </w:r>
            <w:r w:rsidRPr="00D83227">
              <w:rPr>
                <w:rFonts w:ascii="Times New Roman" w:hAnsi="Times New Roman"/>
                <w:sz w:val="24"/>
                <w:szCs w:val="28"/>
              </w:rPr>
              <w:t>мы)</w:t>
            </w:r>
          </w:p>
        </w:tc>
      </w:tr>
      <w:tr w:rsidR="005A27BD" w:rsidTr="00F14EDC">
        <w:trPr>
          <w:trHeight w:val="317"/>
        </w:trPr>
        <w:tc>
          <w:tcPr>
            <w:tcW w:w="7196" w:type="dxa"/>
          </w:tcPr>
          <w:p w:rsidR="005A27BD" w:rsidRPr="00374525" w:rsidRDefault="005A27BD" w:rsidP="00F14E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74525">
              <w:rPr>
                <w:rFonts w:ascii="Times New Roman" w:hAnsi="Times New Roman"/>
                <w:sz w:val="24"/>
                <w:szCs w:val="28"/>
              </w:rPr>
              <w:t>Онлайн-кредит в банке</w:t>
            </w:r>
          </w:p>
        </w:tc>
        <w:tc>
          <w:tcPr>
            <w:tcW w:w="2375" w:type="dxa"/>
          </w:tcPr>
          <w:p w:rsidR="005A27BD" w:rsidRDefault="00530CE9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66A25">
              <w:rPr>
                <w:rFonts w:ascii="Times New Roman" w:hAnsi="Times New Roman"/>
                <w:sz w:val="24"/>
                <w:szCs w:val="28"/>
              </w:rPr>
              <w:t>2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% / </w:t>
            </w:r>
            <w:r w:rsidR="00966A25">
              <w:rPr>
                <w:rFonts w:ascii="Times New Roman" w:hAnsi="Times New Roman"/>
                <w:sz w:val="24"/>
                <w:szCs w:val="28"/>
              </w:rPr>
              <w:t>8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030454" w:rsidTr="00D57D2A">
        <w:trPr>
          <w:trHeight w:val="317"/>
        </w:trPr>
        <w:tc>
          <w:tcPr>
            <w:tcW w:w="7196" w:type="dxa"/>
          </w:tcPr>
          <w:p w:rsidR="00030454" w:rsidRPr="00D83227" w:rsidRDefault="005A27B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A27BD">
              <w:rPr>
                <w:rFonts w:ascii="Times New Roman" w:hAnsi="Times New Roman"/>
                <w:sz w:val="24"/>
                <w:szCs w:val="28"/>
              </w:rPr>
              <w:t>Иной кредит в банке, не являющийся онлайн-кредитом</w:t>
            </w:r>
          </w:p>
        </w:tc>
        <w:tc>
          <w:tcPr>
            <w:tcW w:w="2375" w:type="dxa"/>
          </w:tcPr>
          <w:p w:rsidR="00030454" w:rsidRPr="00D83227" w:rsidRDefault="00966A25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233FAE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30CE9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374525" w:rsidRDefault="005A27B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74525">
              <w:rPr>
                <w:rFonts w:ascii="Times New Roman" w:hAnsi="Times New Roman"/>
                <w:sz w:val="24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2375" w:type="dxa"/>
          </w:tcPr>
          <w:p w:rsidR="005A27BD" w:rsidRDefault="00966A25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374525" w:rsidRDefault="005A27B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A27BD">
              <w:rPr>
                <w:rFonts w:ascii="Times New Roman" w:hAnsi="Times New Roman"/>
                <w:sz w:val="24"/>
                <w:szCs w:val="28"/>
              </w:rPr>
              <w:t xml:space="preserve">Онлайн-заем в </w:t>
            </w:r>
            <w:proofErr w:type="spellStart"/>
            <w:r w:rsidRPr="005A27BD">
              <w:rPr>
                <w:rFonts w:ascii="Times New Roman" w:hAnsi="Times New Roman"/>
                <w:sz w:val="24"/>
                <w:szCs w:val="28"/>
              </w:rPr>
              <w:t>микрофинансовой</w:t>
            </w:r>
            <w:proofErr w:type="spellEnd"/>
            <w:r w:rsidRPr="005A27BD">
              <w:rPr>
                <w:rFonts w:ascii="Times New Roman" w:hAnsi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2375" w:type="dxa"/>
          </w:tcPr>
          <w:p w:rsidR="005A27BD" w:rsidRDefault="00966A25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30CE9">
              <w:rPr>
                <w:rFonts w:ascii="Times New Roman" w:hAnsi="Times New Roman"/>
                <w:sz w:val="24"/>
                <w:szCs w:val="28"/>
              </w:rPr>
              <w:t xml:space="preserve"> / 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374525" w:rsidRDefault="005A27BD" w:rsidP="005A27B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A27BD">
              <w:rPr>
                <w:rFonts w:ascii="Times New Roman" w:hAnsi="Times New Roman"/>
                <w:sz w:val="24"/>
                <w:szCs w:val="28"/>
              </w:rPr>
              <w:t xml:space="preserve">Иной заем в </w:t>
            </w:r>
            <w:r>
              <w:rPr>
                <w:rFonts w:ascii="Times New Roman" w:hAnsi="Times New Roman"/>
                <w:sz w:val="24"/>
                <w:szCs w:val="28"/>
              </w:rPr>
              <w:t>МФО</w:t>
            </w:r>
            <w:r w:rsidRPr="005A27BD">
              <w:rPr>
                <w:rFonts w:ascii="Times New Roman" w:hAnsi="Times New Roman"/>
                <w:sz w:val="24"/>
                <w:szCs w:val="28"/>
              </w:rPr>
              <w:t>, не являющийся онлайн-займом</w:t>
            </w:r>
          </w:p>
        </w:tc>
        <w:tc>
          <w:tcPr>
            <w:tcW w:w="2375" w:type="dxa"/>
          </w:tcPr>
          <w:p w:rsidR="005A27BD" w:rsidRDefault="00966A25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30CE9">
              <w:rPr>
                <w:rFonts w:ascii="Times New Roman" w:hAnsi="Times New Roman"/>
                <w:sz w:val="24"/>
                <w:szCs w:val="28"/>
              </w:rPr>
              <w:t xml:space="preserve"> / 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374525" w:rsidRDefault="005A27BD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A27BD">
              <w:rPr>
                <w:rFonts w:ascii="Times New Roman" w:hAnsi="Times New Roman"/>
                <w:sz w:val="24"/>
                <w:szCs w:val="28"/>
              </w:rPr>
              <w:t>Онлайн-заем в кредитном потребительском кооперативе</w:t>
            </w:r>
          </w:p>
        </w:tc>
        <w:tc>
          <w:tcPr>
            <w:tcW w:w="2375" w:type="dxa"/>
          </w:tcPr>
          <w:p w:rsidR="005A27BD" w:rsidRDefault="00530CE9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 w:rsidR="00966A25"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5A27BD" w:rsidRDefault="005A27BD" w:rsidP="005A27B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A27BD">
              <w:rPr>
                <w:rFonts w:ascii="Times New Roman" w:hAnsi="Times New Roman"/>
                <w:sz w:val="24"/>
                <w:szCs w:val="28"/>
              </w:rPr>
              <w:t xml:space="preserve">Иной заем в </w:t>
            </w:r>
            <w:r>
              <w:rPr>
                <w:rFonts w:ascii="Times New Roman" w:hAnsi="Times New Roman"/>
                <w:sz w:val="24"/>
                <w:szCs w:val="28"/>
              </w:rPr>
              <w:t>КПК</w:t>
            </w:r>
            <w:r w:rsidRPr="005A27BD">
              <w:rPr>
                <w:rFonts w:ascii="Times New Roman" w:hAnsi="Times New Roman"/>
                <w:sz w:val="24"/>
                <w:szCs w:val="28"/>
              </w:rPr>
              <w:t>, не являющийся онлайн-займом</w:t>
            </w:r>
          </w:p>
        </w:tc>
        <w:tc>
          <w:tcPr>
            <w:tcW w:w="2375" w:type="dxa"/>
          </w:tcPr>
          <w:p w:rsidR="005A27BD" w:rsidRPr="00D83227" w:rsidRDefault="00530CE9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 w:rsidR="00966A25"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5A27BD" w:rsidRDefault="00526EB5" w:rsidP="00526EB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26EB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Онлайн-заем в </w:t>
            </w:r>
            <w:proofErr w:type="gramStart"/>
            <w:r w:rsidRPr="00526EB5">
              <w:rPr>
                <w:rFonts w:ascii="Times New Roman" w:hAnsi="Times New Roman"/>
                <w:sz w:val="24"/>
                <w:szCs w:val="28"/>
              </w:rPr>
              <w:t>сельскохозяйственном</w:t>
            </w:r>
            <w:proofErr w:type="gramEnd"/>
            <w:r w:rsidRPr="00526E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КПК</w:t>
            </w:r>
          </w:p>
        </w:tc>
        <w:tc>
          <w:tcPr>
            <w:tcW w:w="2375" w:type="dxa"/>
          </w:tcPr>
          <w:p w:rsidR="005A27BD" w:rsidRPr="00D83227" w:rsidRDefault="00966A25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5A27BD" w:rsidRDefault="00526EB5" w:rsidP="00526EB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526EB5">
              <w:rPr>
                <w:rFonts w:ascii="Times New Roman" w:hAnsi="Times New Roman"/>
                <w:sz w:val="24"/>
                <w:szCs w:val="28"/>
              </w:rPr>
              <w:t xml:space="preserve">ной заем в </w:t>
            </w:r>
            <w:r>
              <w:rPr>
                <w:rFonts w:ascii="Times New Roman" w:hAnsi="Times New Roman"/>
                <w:sz w:val="24"/>
                <w:szCs w:val="28"/>
              </w:rPr>
              <w:t>СКПК</w:t>
            </w:r>
            <w:r w:rsidRPr="00526EB5">
              <w:rPr>
                <w:rFonts w:ascii="Times New Roman" w:hAnsi="Times New Roman"/>
                <w:sz w:val="24"/>
                <w:szCs w:val="28"/>
              </w:rPr>
              <w:t>, не являющийся онлайн-займом</w:t>
            </w:r>
          </w:p>
        </w:tc>
        <w:tc>
          <w:tcPr>
            <w:tcW w:w="2375" w:type="dxa"/>
          </w:tcPr>
          <w:p w:rsidR="005A27BD" w:rsidRPr="00D83227" w:rsidRDefault="00966A25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27BD" w:rsidTr="00D57D2A">
        <w:trPr>
          <w:trHeight w:val="317"/>
        </w:trPr>
        <w:tc>
          <w:tcPr>
            <w:tcW w:w="7196" w:type="dxa"/>
          </w:tcPr>
          <w:p w:rsidR="005A27BD" w:rsidRPr="005A27BD" w:rsidRDefault="00526EB5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26EB5">
              <w:rPr>
                <w:rFonts w:ascii="Times New Roman" w:hAnsi="Times New Roman"/>
                <w:sz w:val="24"/>
                <w:szCs w:val="28"/>
              </w:rPr>
              <w:t>Заем в ломбарде</w:t>
            </w:r>
          </w:p>
        </w:tc>
        <w:tc>
          <w:tcPr>
            <w:tcW w:w="2375" w:type="dxa"/>
          </w:tcPr>
          <w:p w:rsidR="005A27BD" w:rsidRPr="00D83227" w:rsidRDefault="00966A25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5A27BD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 w:rsidR="00530CE9">
              <w:rPr>
                <w:rFonts w:ascii="Times New Roman" w:hAnsi="Times New Roman"/>
                <w:sz w:val="24"/>
                <w:szCs w:val="28"/>
              </w:rPr>
              <w:t>0</w:t>
            </w:r>
            <w:r w:rsidR="005A27B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33FAE" w:rsidTr="00374525">
        <w:trPr>
          <w:trHeight w:val="662"/>
        </w:trPr>
        <w:tc>
          <w:tcPr>
            <w:tcW w:w="9571" w:type="dxa"/>
            <w:gridSpan w:val="2"/>
            <w:shd w:val="clear" w:color="auto" w:fill="FDE9D9" w:themeFill="accent6" w:themeFillTint="33"/>
            <w:vAlign w:val="center"/>
          </w:tcPr>
          <w:p w:rsidR="00233FAE" w:rsidRPr="00D83227" w:rsidRDefault="00233FAE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Причина отсутствия финансовых продуктов</w:t>
            </w:r>
          </w:p>
        </w:tc>
      </w:tr>
      <w:tr w:rsidR="00233FAE" w:rsidTr="00D57D2A">
        <w:trPr>
          <w:trHeight w:val="317"/>
        </w:trPr>
        <w:tc>
          <w:tcPr>
            <w:tcW w:w="7196" w:type="dxa"/>
          </w:tcPr>
          <w:p w:rsidR="00233FAE" w:rsidRPr="00D83227" w:rsidRDefault="00BF0D37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Не люблю кредиты/не хочу жить в долг</w:t>
            </w:r>
          </w:p>
        </w:tc>
        <w:tc>
          <w:tcPr>
            <w:tcW w:w="2375" w:type="dxa"/>
          </w:tcPr>
          <w:p w:rsidR="00233FAE" w:rsidRPr="00D83227" w:rsidRDefault="00966A25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  <w:r w:rsidR="00BF0D37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33FAE" w:rsidTr="00D57D2A">
        <w:trPr>
          <w:trHeight w:val="317"/>
        </w:trPr>
        <w:tc>
          <w:tcPr>
            <w:tcW w:w="7196" w:type="dxa"/>
          </w:tcPr>
          <w:p w:rsidR="00233FAE" w:rsidRPr="00D83227" w:rsidRDefault="00BC24FF" w:rsidP="00BC24F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Процентная ставка слишком высокая</w:t>
            </w:r>
            <w:r w:rsidRPr="00BC24F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233FAE" w:rsidRPr="00D83227" w:rsidRDefault="001A7395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66A25">
              <w:rPr>
                <w:rFonts w:ascii="Times New Roman" w:hAnsi="Times New Roman"/>
                <w:sz w:val="24"/>
                <w:szCs w:val="28"/>
              </w:rPr>
              <w:t>5</w:t>
            </w:r>
            <w:r w:rsidR="00BF0D37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BF0D37" w:rsidTr="00D57D2A">
        <w:trPr>
          <w:trHeight w:val="318"/>
        </w:trPr>
        <w:tc>
          <w:tcPr>
            <w:tcW w:w="7196" w:type="dxa"/>
          </w:tcPr>
          <w:p w:rsidR="00BF0D37" w:rsidRPr="00D83227" w:rsidRDefault="00BC24FF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C24FF">
              <w:rPr>
                <w:rFonts w:ascii="Times New Roman" w:hAnsi="Times New Roman"/>
                <w:sz w:val="24"/>
                <w:szCs w:val="28"/>
              </w:rPr>
              <w:t>Нет необходимости в заемных средствах</w:t>
            </w:r>
          </w:p>
        </w:tc>
        <w:tc>
          <w:tcPr>
            <w:tcW w:w="2375" w:type="dxa"/>
          </w:tcPr>
          <w:p w:rsidR="00BF0D37" w:rsidRPr="00D83227" w:rsidRDefault="00BC24FF" w:rsidP="00966A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66A25">
              <w:rPr>
                <w:rFonts w:ascii="Times New Roman" w:hAnsi="Times New Roman"/>
                <w:sz w:val="24"/>
                <w:szCs w:val="28"/>
              </w:rPr>
              <w:t>5</w:t>
            </w:r>
            <w:r w:rsidR="00BF0D37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C25AC" w:rsidTr="00374525">
        <w:trPr>
          <w:trHeight w:val="648"/>
        </w:trPr>
        <w:tc>
          <w:tcPr>
            <w:tcW w:w="9571" w:type="dxa"/>
            <w:gridSpan w:val="2"/>
            <w:shd w:val="clear" w:color="auto" w:fill="D6E3BC" w:themeFill="accent3" w:themeFillTint="66"/>
            <w:vAlign w:val="center"/>
          </w:tcPr>
          <w:p w:rsidR="00DC25AC" w:rsidRPr="00D83227" w:rsidRDefault="00DC25AC" w:rsidP="000F22C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 xml:space="preserve">Имеющиеся </w:t>
            </w:r>
            <w:r w:rsidR="008347BA">
              <w:rPr>
                <w:rFonts w:ascii="Times New Roman" w:hAnsi="Times New Roman"/>
                <w:sz w:val="24"/>
                <w:szCs w:val="28"/>
              </w:rPr>
              <w:t>сейчас</w:t>
            </w:r>
            <w:r w:rsidR="000F22C1">
              <w:rPr>
                <w:rFonts w:ascii="Times New Roman" w:hAnsi="Times New Roman"/>
                <w:sz w:val="24"/>
                <w:szCs w:val="28"/>
              </w:rPr>
              <w:t xml:space="preserve"> / за последний год</w:t>
            </w:r>
            <w:r w:rsidR="008347BA">
              <w:rPr>
                <w:rFonts w:ascii="Times New Roman" w:hAnsi="Times New Roman"/>
                <w:sz w:val="24"/>
                <w:szCs w:val="28"/>
              </w:rPr>
              <w:t xml:space="preserve"> платежные карты</w:t>
            </w:r>
          </w:p>
        </w:tc>
      </w:tr>
      <w:tr w:rsidR="00DC25AC" w:rsidTr="00D57D2A">
        <w:trPr>
          <w:trHeight w:val="317"/>
        </w:trPr>
        <w:tc>
          <w:tcPr>
            <w:tcW w:w="7196" w:type="dxa"/>
          </w:tcPr>
          <w:p w:rsidR="00DC25AC" w:rsidRPr="00D83227" w:rsidRDefault="008347BA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347BA">
              <w:rPr>
                <w:rFonts w:ascii="Times New Roman" w:hAnsi="Times New Roman"/>
                <w:sz w:val="24"/>
                <w:szCs w:val="28"/>
              </w:rPr>
              <w:t>Зарплатная карта</w:t>
            </w:r>
          </w:p>
        </w:tc>
        <w:tc>
          <w:tcPr>
            <w:tcW w:w="2375" w:type="dxa"/>
          </w:tcPr>
          <w:p w:rsidR="00DC25AC" w:rsidRPr="00D83227" w:rsidRDefault="00013188" w:rsidP="00E134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E13410">
              <w:rPr>
                <w:rFonts w:ascii="Times New Roman" w:hAnsi="Times New Roman"/>
                <w:sz w:val="24"/>
                <w:szCs w:val="28"/>
              </w:rPr>
              <w:t>3</w:t>
            </w:r>
            <w:r w:rsidR="00DC25AC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 w:rsidR="00E13410">
              <w:rPr>
                <w:rFonts w:ascii="Times New Roman" w:hAnsi="Times New Roman"/>
                <w:sz w:val="24"/>
                <w:szCs w:val="28"/>
              </w:rPr>
              <w:t>0</w:t>
            </w:r>
            <w:r w:rsidR="000F22C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0F22C1" w:rsidTr="00D57D2A">
        <w:trPr>
          <w:trHeight w:val="317"/>
        </w:trPr>
        <w:tc>
          <w:tcPr>
            <w:tcW w:w="7196" w:type="dxa"/>
          </w:tcPr>
          <w:p w:rsidR="000F22C1" w:rsidRPr="008347BA" w:rsidRDefault="000F22C1" w:rsidP="000F22C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22C1">
              <w:rPr>
                <w:rFonts w:ascii="Times New Roman" w:hAnsi="Times New Roman"/>
                <w:sz w:val="24"/>
                <w:szCs w:val="28"/>
              </w:rPr>
              <w:t>Расчетная карта для получения пенсий и иных социальных выплат</w:t>
            </w:r>
          </w:p>
        </w:tc>
        <w:tc>
          <w:tcPr>
            <w:tcW w:w="2375" w:type="dxa"/>
          </w:tcPr>
          <w:p w:rsidR="000F22C1" w:rsidRDefault="00E13410" w:rsidP="00E134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0F22C1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0F22C1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0F22C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0F22C1" w:rsidTr="00D57D2A">
        <w:trPr>
          <w:trHeight w:val="317"/>
        </w:trPr>
        <w:tc>
          <w:tcPr>
            <w:tcW w:w="7196" w:type="dxa"/>
          </w:tcPr>
          <w:p w:rsidR="000F22C1" w:rsidRPr="000F22C1" w:rsidRDefault="000F22C1" w:rsidP="0092283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22C1">
              <w:rPr>
                <w:rFonts w:ascii="Times New Roman" w:hAnsi="Times New Roman"/>
                <w:sz w:val="24"/>
                <w:szCs w:val="28"/>
              </w:rPr>
              <w:t xml:space="preserve">Другая расчетная </w:t>
            </w:r>
            <w:r w:rsidR="0092283F">
              <w:rPr>
                <w:rFonts w:ascii="Times New Roman" w:hAnsi="Times New Roman"/>
                <w:sz w:val="24"/>
                <w:szCs w:val="28"/>
              </w:rPr>
              <w:t>карта</w:t>
            </w:r>
          </w:p>
        </w:tc>
        <w:tc>
          <w:tcPr>
            <w:tcW w:w="2375" w:type="dxa"/>
          </w:tcPr>
          <w:p w:rsidR="000F22C1" w:rsidRDefault="00E13410" w:rsidP="00E134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0F22C1">
              <w:rPr>
                <w:rFonts w:ascii="Times New Roman" w:hAnsi="Times New Roman"/>
                <w:sz w:val="24"/>
                <w:szCs w:val="28"/>
              </w:rPr>
              <w:t xml:space="preserve">% / 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0F22C1" w:rsidRPr="000F22C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C25AC" w:rsidTr="00D57D2A">
        <w:trPr>
          <w:trHeight w:val="318"/>
        </w:trPr>
        <w:tc>
          <w:tcPr>
            <w:tcW w:w="7196" w:type="dxa"/>
          </w:tcPr>
          <w:p w:rsidR="00DC25AC" w:rsidRPr="00D83227" w:rsidRDefault="00DF1BA0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F1BA0">
              <w:rPr>
                <w:rFonts w:ascii="Times New Roman" w:hAnsi="Times New Roman"/>
                <w:sz w:val="24"/>
                <w:szCs w:val="28"/>
              </w:rPr>
              <w:t>Кредитная карта</w:t>
            </w:r>
          </w:p>
        </w:tc>
        <w:tc>
          <w:tcPr>
            <w:tcW w:w="2375" w:type="dxa"/>
          </w:tcPr>
          <w:p w:rsidR="00DC25AC" w:rsidRPr="00D83227" w:rsidRDefault="00E13410" w:rsidP="00E134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="00DC25AC" w:rsidRPr="00D83227">
              <w:rPr>
                <w:rFonts w:ascii="Times New Roman" w:hAnsi="Times New Roman"/>
                <w:sz w:val="24"/>
                <w:szCs w:val="28"/>
              </w:rPr>
              <w:t>%</w:t>
            </w:r>
            <w:r w:rsidR="00013188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0F22C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B72F0A" w:rsidTr="00374525">
        <w:trPr>
          <w:trHeight w:val="649"/>
        </w:trPr>
        <w:tc>
          <w:tcPr>
            <w:tcW w:w="9571" w:type="dxa"/>
            <w:gridSpan w:val="2"/>
            <w:shd w:val="clear" w:color="auto" w:fill="FDE9D9" w:themeFill="accent6" w:themeFillTint="33"/>
            <w:vAlign w:val="center"/>
          </w:tcPr>
          <w:p w:rsidR="00B72F0A" w:rsidRPr="00D83227" w:rsidRDefault="00B72F0A" w:rsidP="00DF1B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 xml:space="preserve">Причина отсутствия </w:t>
            </w:r>
            <w:r w:rsidR="00DF1BA0">
              <w:rPr>
                <w:rFonts w:ascii="Times New Roman" w:hAnsi="Times New Roman"/>
                <w:sz w:val="24"/>
                <w:szCs w:val="28"/>
              </w:rPr>
              <w:t>платежных карт</w:t>
            </w:r>
          </w:p>
        </w:tc>
      </w:tr>
      <w:tr w:rsidR="00B72F0A" w:rsidTr="00D57D2A">
        <w:trPr>
          <w:trHeight w:val="318"/>
        </w:trPr>
        <w:tc>
          <w:tcPr>
            <w:tcW w:w="7196" w:type="dxa"/>
          </w:tcPr>
          <w:p w:rsidR="00B72F0A" w:rsidRPr="00D83227" w:rsidRDefault="00DF1BA0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Недостаточно свободных денег</w:t>
            </w:r>
          </w:p>
        </w:tc>
        <w:tc>
          <w:tcPr>
            <w:tcW w:w="2375" w:type="dxa"/>
          </w:tcPr>
          <w:p w:rsidR="00B72F0A" w:rsidRPr="00D83227" w:rsidRDefault="00013188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="00B72F0A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0F22C1" w:rsidTr="00D57D2A">
        <w:trPr>
          <w:trHeight w:val="318"/>
        </w:trPr>
        <w:tc>
          <w:tcPr>
            <w:tcW w:w="7196" w:type="dxa"/>
          </w:tcPr>
          <w:p w:rsidR="000F22C1" w:rsidRPr="00D83227" w:rsidRDefault="000F22C1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22C1">
              <w:rPr>
                <w:rFonts w:ascii="Times New Roman" w:hAnsi="Times New Roman"/>
                <w:sz w:val="24"/>
                <w:szCs w:val="28"/>
              </w:rPr>
              <w:t>Платежная карта есть у других членов моей семьи</w:t>
            </w:r>
          </w:p>
        </w:tc>
        <w:tc>
          <w:tcPr>
            <w:tcW w:w="2375" w:type="dxa"/>
          </w:tcPr>
          <w:p w:rsidR="000F22C1" w:rsidRDefault="00871F5A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0F22C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0F22C1" w:rsidTr="00D57D2A">
        <w:trPr>
          <w:trHeight w:val="318"/>
        </w:trPr>
        <w:tc>
          <w:tcPr>
            <w:tcW w:w="7196" w:type="dxa"/>
          </w:tcPr>
          <w:p w:rsidR="000F22C1" w:rsidRPr="00D83227" w:rsidRDefault="000F22C1" w:rsidP="0037452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22C1">
              <w:rPr>
                <w:rFonts w:ascii="Times New Roman" w:hAnsi="Times New Roman"/>
                <w:sz w:val="24"/>
                <w:szCs w:val="28"/>
              </w:rPr>
              <w:t>Я не доверяю банкам (кредитным организациям)</w:t>
            </w:r>
          </w:p>
        </w:tc>
        <w:tc>
          <w:tcPr>
            <w:tcW w:w="2375" w:type="dxa"/>
          </w:tcPr>
          <w:p w:rsidR="000F22C1" w:rsidRDefault="00871F5A" w:rsidP="003745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0F22C1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7137C" w:rsidTr="009047C9">
        <w:trPr>
          <w:trHeight w:val="653"/>
        </w:trPr>
        <w:tc>
          <w:tcPr>
            <w:tcW w:w="9571" w:type="dxa"/>
            <w:gridSpan w:val="2"/>
            <w:shd w:val="clear" w:color="auto" w:fill="D6E3BC" w:themeFill="accent3" w:themeFillTint="66"/>
            <w:vAlign w:val="center"/>
          </w:tcPr>
          <w:p w:rsidR="0057137C" w:rsidRPr="002313B8" w:rsidRDefault="0057137C" w:rsidP="009047C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>Имеющийся сейчас / за последний год страховой продукт</w:t>
            </w:r>
          </w:p>
        </w:tc>
      </w:tr>
      <w:tr w:rsidR="0057137C" w:rsidTr="009047C9">
        <w:trPr>
          <w:trHeight w:val="318"/>
        </w:trPr>
        <w:tc>
          <w:tcPr>
            <w:tcW w:w="7196" w:type="dxa"/>
          </w:tcPr>
          <w:p w:rsidR="0057137C" w:rsidRPr="002313B8" w:rsidRDefault="0057137C" w:rsidP="009047C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>Добровольное страхование жизни</w:t>
            </w:r>
          </w:p>
        </w:tc>
        <w:tc>
          <w:tcPr>
            <w:tcW w:w="2375" w:type="dxa"/>
          </w:tcPr>
          <w:p w:rsidR="0057137C" w:rsidRPr="002313B8" w:rsidRDefault="00840E1B" w:rsidP="009047C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  <w:r w:rsidR="0057137C">
              <w:rPr>
                <w:rFonts w:ascii="Times New Roman" w:hAnsi="Times New Roman"/>
                <w:sz w:val="24"/>
                <w:szCs w:val="28"/>
              </w:rPr>
              <w:t xml:space="preserve"> / 5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7137C" w:rsidTr="009047C9">
        <w:trPr>
          <w:trHeight w:val="318"/>
        </w:trPr>
        <w:tc>
          <w:tcPr>
            <w:tcW w:w="7196" w:type="dxa"/>
          </w:tcPr>
          <w:p w:rsidR="0057137C" w:rsidRPr="002313B8" w:rsidRDefault="0057137C" w:rsidP="009047C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>Другое добровольное страхование, кроме страхования жизни</w:t>
            </w:r>
          </w:p>
        </w:tc>
        <w:tc>
          <w:tcPr>
            <w:tcW w:w="2375" w:type="dxa"/>
          </w:tcPr>
          <w:p w:rsidR="0057137C" w:rsidRPr="002313B8" w:rsidRDefault="00840E1B" w:rsidP="00840E1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  <w:r w:rsidR="0057137C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7137C" w:rsidTr="009047C9">
        <w:trPr>
          <w:trHeight w:val="318"/>
        </w:trPr>
        <w:tc>
          <w:tcPr>
            <w:tcW w:w="7196" w:type="dxa"/>
          </w:tcPr>
          <w:p w:rsidR="0057137C" w:rsidRPr="002313B8" w:rsidRDefault="0057137C" w:rsidP="009047C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 xml:space="preserve">Другое обязательное страхование, кроме </w:t>
            </w:r>
            <w:proofErr w:type="gramStart"/>
            <w:r w:rsidRPr="002313B8">
              <w:rPr>
                <w:rFonts w:ascii="Times New Roman" w:hAnsi="Times New Roman"/>
                <w:sz w:val="24"/>
                <w:szCs w:val="28"/>
              </w:rPr>
              <w:t>обязательного</w:t>
            </w:r>
            <w:proofErr w:type="gramEnd"/>
            <w:r w:rsidRPr="002313B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57137C" w:rsidRPr="002313B8" w:rsidRDefault="00840E1B" w:rsidP="00840E1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  <w:r w:rsidR="0057137C">
              <w:rPr>
                <w:rFonts w:ascii="Times New Roman" w:hAnsi="Times New Roman"/>
                <w:sz w:val="24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7137C" w:rsidTr="009047C9">
        <w:trPr>
          <w:trHeight w:val="667"/>
        </w:trPr>
        <w:tc>
          <w:tcPr>
            <w:tcW w:w="9571" w:type="dxa"/>
            <w:gridSpan w:val="2"/>
            <w:shd w:val="clear" w:color="auto" w:fill="FDE9D9" w:themeFill="accent6" w:themeFillTint="33"/>
            <w:vAlign w:val="center"/>
          </w:tcPr>
          <w:p w:rsidR="0057137C" w:rsidRPr="002313B8" w:rsidRDefault="0057137C" w:rsidP="009047C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>Причина отсутствия страховых продуктов</w:t>
            </w:r>
          </w:p>
        </w:tc>
      </w:tr>
      <w:tr w:rsidR="0057137C" w:rsidTr="009047C9">
        <w:trPr>
          <w:trHeight w:val="318"/>
        </w:trPr>
        <w:tc>
          <w:tcPr>
            <w:tcW w:w="7196" w:type="dxa"/>
          </w:tcPr>
          <w:p w:rsidR="0057137C" w:rsidRPr="002313B8" w:rsidRDefault="00840E1B" w:rsidP="00840E1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 xml:space="preserve">Не вижу смысла в страховании </w:t>
            </w:r>
          </w:p>
        </w:tc>
        <w:tc>
          <w:tcPr>
            <w:tcW w:w="2375" w:type="dxa"/>
          </w:tcPr>
          <w:p w:rsidR="0057137C" w:rsidRPr="002313B8" w:rsidRDefault="00840E1B" w:rsidP="009047C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2313B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7137C" w:rsidTr="009047C9">
        <w:trPr>
          <w:trHeight w:val="318"/>
        </w:trPr>
        <w:tc>
          <w:tcPr>
            <w:tcW w:w="7196" w:type="dxa"/>
          </w:tcPr>
          <w:p w:rsidR="0057137C" w:rsidRPr="002313B8" w:rsidRDefault="00840E1B" w:rsidP="009047C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>Стоимость страхового полиса слишком высокая</w:t>
            </w:r>
          </w:p>
        </w:tc>
        <w:tc>
          <w:tcPr>
            <w:tcW w:w="2375" w:type="dxa"/>
          </w:tcPr>
          <w:p w:rsidR="0057137C" w:rsidRPr="002313B8" w:rsidRDefault="00840E1B" w:rsidP="009047C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2313B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7137C" w:rsidTr="009047C9">
        <w:trPr>
          <w:trHeight w:val="318"/>
        </w:trPr>
        <w:tc>
          <w:tcPr>
            <w:tcW w:w="7196" w:type="dxa"/>
          </w:tcPr>
          <w:p w:rsidR="0057137C" w:rsidRPr="002313B8" w:rsidRDefault="0057137C" w:rsidP="009047C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313B8">
              <w:rPr>
                <w:rFonts w:ascii="Times New Roman" w:hAnsi="Times New Roman"/>
                <w:sz w:val="24"/>
                <w:szCs w:val="28"/>
              </w:rPr>
              <w:t>Я не доверяю страховым организациям</w:t>
            </w:r>
          </w:p>
        </w:tc>
        <w:tc>
          <w:tcPr>
            <w:tcW w:w="2375" w:type="dxa"/>
          </w:tcPr>
          <w:p w:rsidR="0057137C" w:rsidRPr="002313B8" w:rsidRDefault="00840E1B" w:rsidP="009047C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57137C" w:rsidRPr="002313B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9B1CAD" w:rsidRDefault="009B1CAD" w:rsidP="00D809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38B" w:rsidRDefault="004A2E20" w:rsidP="00D8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19EA">
        <w:rPr>
          <w:rFonts w:ascii="Times New Roman" w:hAnsi="Times New Roman"/>
          <w:sz w:val="28"/>
          <w:szCs w:val="28"/>
        </w:rPr>
        <w:t>6</w:t>
      </w:r>
      <w:r w:rsidR="002C038B">
        <w:rPr>
          <w:rFonts w:ascii="Times New Roman" w:hAnsi="Times New Roman"/>
          <w:sz w:val="28"/>
          <w:szCs w:val="28"/>
        </w:rPr>
        <w:t>% опрошенных респондентов п</w:t>
      </w:r>
      <w:r w:rsidR="002C038B" w:rsidRPr="002C038B">
        <w:rPr>
          <w:rFonts w:ascii="Times New Roman" w:hAnsi="Times New Roman"/>
          <w:sz w:val="28"/>
          <w:szCs w:val="28"/>
        </w:rPr>
        <w:t>ольз</w:t>
      </w:r>
      <w:r>
        <w:rPr>
          <w:rFonts w:ascii="Times New Roman" w:hAnsi="Times New Roman"/>
          <w:sz w:val="28"/>
          <w:szCs w:val="28"/>
        </w:rPr>
        <w:t>уются сейчас или</w:t>
      </w:r>
      <w:r w:rsidR="002C038B" w:rsidRPr="002C038B">
        <w:rPr>
          <w:rFonts w:ascii="Times New Roman" w:hAnsi="Times New Roman"/>
          <w:sz w:val="28"/>
          <w:szCs w:val="28"/>
        </w:rPr>
        <w:t xml:space="preserve">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</w:t>
      </w:r>
      <w:r w:rsidR="002C038B">
        <w:rPr>
          <w:rFonts w:ascii="Times New Roman" w:hAnsi="Times New Roman"/>
          <w:sz w:val="28"/>
          <w:szCs w:val="28"/>
        </w:rPr>
        <w:t xml:space="preserve">, остальные </w:t>
      </w:r>
      <w:r>
        <w:rPr>
          <w:rFonts w:ascii="Times New Roman" w:hAnsi="Times New Roman"/>
          <w:sz w:val="28"/>
          <w:szCs w:val="28"/>
        </w:rPr>
        <w:t>6</w:t>
      </w:r>
      <w:r w:rsidR="007519EA">
        <w:rPr>
          <w:rFonts w:ascii="Times New Roman" w:hAnsi="Times New Roman"/>
          <w:sz w:val="28"/>
          <w:szCs w:val="28"/>
        </w:rPr>
        <w:t>4</w:t>
      </w:r>
      <w:r w:rsidR="002C038B">
        <w:rPr>
          <w:rFonts w:ascii="Times New Roman" w:hAnsi="Times New Roman"/>
          <w:sz w:val="28"/>
          <w:szCs w:val="28"/>
        </w:rPr>
        <w:t>% не пользовались.</w:t>
      </w:r>
    </w:p>
    <w:p w:rsidR="009B1CAD" w:rsidRDefault="009B1CAD" w:rsidP="00D8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типу дистанционного доступа к банковскому счету за последние 12 месяцев ответы респондентов разделились следующим образом:</w:t>
      </w:r>
    </w:p>
    <w:p w:rsidR="009B1CAD" w:rsidRDefault="009B1CAD" w:rsidP="005755FF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переводы/платежи через интернет-банк с помощью стационарного компьютера или ноутбука – пользовались </w:t>
      </w:r>
      <w:r w:rsidR="00806DF0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%;</w:t>
      </w:r>
    </w:p>
    <w:p w:rsidR="009B1CAD" w:rsidRDefault="009B1CAD" w:rsidP="005755FF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переводы/платежи через интернет-банк с помощью планшета или смартфона – пользовались </w:t>
      </w:r>
      <w:r w:rsidR="004A2E20">
        <w:rPr>
          <w:rFonts w:ascii="Times New Roman" w:hAnsi="Times New Roman"/>
          <w:sz w:val="28"/>
          <w:szCs w:val="28"/>
        </w:rPr>
        <w:t>5</w:t>
      </w:r>
      <w:r w:rsidR="00806D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%;</w:t>
      </w:r>
    </w:p>
    <w:p w:rsidR="009B1CAD" w:rsidRDefault="009B1CAD" w:rsidP="005755FF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переводы/платежи через мобильный банк с помощью специализированного мобильного приложения – пользовались </w:t>
      </w:r>
      <w:r w:rsidR="00806DF0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%;</w:t>
      </w:r>
    </w:p>
    <w:p w:rsidR="009B1CAD" w:rsidRDefault="009B1CAD" w:rsidP="005755FF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переводы/платежи через мобильный банк посредством сообщений с использованием мобильного телефона – пользовались </w:t>
      </w:r>
      <w:r w:rsidR="004A2E20">
        <w:rPr>
          <w:rFonts w:ascii="Times New Roman" w:hAnsi="Times New Roman"/>
          <w:sz w:val="28"/>
          <w:szCs w:val="28"/>
        </w:rPr>
        <w:t>2</w:t>
      </w:r>
      <w:r w:rsidR="00806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%.</w:t>
      </w:r>
    </w:p>
    <w:p w:rsidR="00CB6A87" w:rsidRDefault="009B1CAD" w:rsidP="00CB6A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самый востребованный сервис для дистанционного доступа к банковскому счету – это специализирова</w:t>
      </w:r>
      <w:r w:rsidR="002C038B">
        <w:rPr>
          <w:rFonts w:ascii="Times New Roman" w:hAnsi="Times New Roman"/>
          <w:sz w:val="28"/>
          <w:szCs w:val="28"/>
        </w:rPr>
        <w:t xml:space="preserve">нное мобильное приложение. </w:t>
      </w:r>
      <w:proofErr w:type="gramStart"/>
      <w:r w:rsidR="002C038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том, из тех респондентов, которые за последние 12 месяцев не пользовались дистанционным доступом к банковскому счету, большинство отметило причину «я не уверен в </w:t>
      </w:r>
      <w:r w:rsidR="00822429">
        <w:rPr>
          <w:rFonts w:ascii="Times New Roman" w:hAnsi="Times New Roman"/>
          <w:sz w:val="28"/>
          <w:szCs w:val="28"/>
        </w:rPr>
        <w:t>безопасности интернет сервисов»</w:t>
      </w:r>
      <w:r w:rsidR="00E639B2">
        <w:rPr>
          <w:rFonts w:ascii="Times New Roman" w:hAnsi="Times New Roman"/>
          <w:sz w:val="28"/>
          <w:szCs w:val="28"/>
        </w:rPr>
        <w:t xml:space="preserve"> (</w:t>
      </w:r>
      <w:r w:rsidR="00FC0D31">
        <w:rPr>
          <w:rFonts w:ascii="Times New Roman" w:hAnsi="Times New Roman"/>
          <w:sz w:val="28"/>
          <w:szCs w:val="28"/>
        </w:rPr>
        <w:t>39</w:t>
      </w:r>
      <w:r w:rsidR="00E639B2">
        <w:rPr>
          <w:rFonts w:ascii="Times New Roman" w:hAnsi="Times New Roman"/>
          <w:sz w:val="28"/>
          <w:szCs w:val="28"/>
        </w:rPr>
        <w:t>%)</w:t>
      </w:r>
      <w:r w:rsidR="00822429">
        <w:rPr>
          <w:rFonts w:ascii="Times New Roman" w:hAnsi="Times New Roman"/>
          <w:sz w:val="28"/>
          <w:szCs w:val="28"/>
        </w:rPr>
        <w:t>.</w:t>
      </w:r>
      <w:r w:rsidR="00CB6A87" w:rsidRPr="00CB6A8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B6A87" w:rsidRDefault="00CB6A87" w:rsidP="00CB6A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степени удовлетворенности потребителями работой/сервисом </w:t>
      </w:r>
      <w:r w:rsidRPr="003F5EB0">
        <w:rPr>
          <w:rFonts w:ascii="Times New Roman" w:hAnsi="Times New Roman"/>
          <w:sz w:val="28"/>
          <w:szCs w:val="28"/>
        </w:rPr>
        <w:t>финансовых организаций при оформлении и/или использовании финансовых услуг или в любых других случаях</w:t>
      </w:r>
      <w:r>
        <w:rPr>
          <w:rFonts w:ascii="Times New Roman" w:hAnsi="Times New Roman"/>
          <w:sz w:val="28"/>
          <w:szCs w:val="28"/>
        </w:rPr>
        <w:t xml:space="preserve"> (рис. 14) респонденты показали, что больше всего </w:t>
      </w:r>
      <w:r w:rsidR="001B331E">
        <w:rPr>
          <w:rFonts w:ascii="Times New Roman" w:hAnsi="Times New Roman"/>
          <w:sz w:val="28"/>
          <w:szCs w:val="28"/>
        </w:rPr>
        <w:t>удовлетворены работой банков (7</w:t>
      </w:r>
      <w:r w:rsidR="001547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%), с остальным</w:t>
      </w:r>
      <w:r w:rsidR="00640093">
        <w:rPr>
          <w:rFonts w:ascii="Times New Roman" w:hAnsi="Times New Roman"/>
          <w:sz w:val="28"/>
          <w:szCs w:val="28"/>
        </w:rPr>
        <w:t>и финансовыми организациями они большинстве не сталкивались.</w:t>
      </w:r>
    </w:p>
    <w:p w:rsidR="0005575A" w:rsidRDefault="00BF0D37" w:rsidP="003F5EB0">
      <w:pPr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6BBA959" wp14:editId="785C9AA3">
            <wp:extent cx="6111240" cy="2453640"/>
            <wp:effectExtent l="0" t="0" r="381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05575A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</w:t>
      </w:r>
      <w:r w:rsidR="00BE0B1D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</w:t>
      </w:r>
      <w:r w:rsidR="0005575A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У</w:t>
      </w:r>
      <w:r w:rsidR="003F5EB0"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довлетворен</w:t>
      </w:r>
      <w:r w:rsid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ность</w:t>
      </w:r>
      <w:r w:rsidR="003F5EB0"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работой/сервисом финансовых организаций</w:t>
      </w:r>
    </w:p>
    <w:p w:rsidR="00C835C7" w:rsidRDefault="00C835C7" w:rsidP="00C835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степени доверия потребителями </w:t>
      </w:r>
      <w:r w:rsidRPr="003F5EB0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м</w:t>
      </w:r>
      <w:r w:rsidRPr="003F5EB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</w:t>
      </w:r>
      <w:r w:rsidRPr="003F5EB0">
        <w:rPr>
          <w:rFonts w:ascii="Times New Roman" w:hAnsi="Times New Roman"/>
          <w:sz w:val="28"/>
          <w:szCs w:val="28"/>
        </w:rPr>
        <w:t xml:space="preserve"> при оформлении и/или использовании финансовых услуг или в любых других случаях</w:t>
      </w:r>
      <w:r>
        <w:rPr>
          <w:rFonts w:ascii="Times New Roman" w:hAnsi="Times New Roman"/>
          <w:sz w:val="28"/>
          <w:szCs w:val="28"/>
        </w:rPr>
        <w:t xml:space="preserve"> (рис. 1</w:t>
      </w:r>
      <w:r w:rsidR="00BD19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респонденты показали, что больше всего доверяют банкам (</w:t>
      </w:r>
      <w:r w:rsidR="0040562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%), остальными финансовым организациям они в большинстве не доверяют либо не сталкивались. </w:t>
      </w:r>
    </w:p>
    <w:p w:rsidR="00C835C7" w:rsidRDefault="00C835C7" w:rsidP="00C835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4A16C82" wp14:editId="0FCC806F">
            <wp:extent cx="6027420" cy="249936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Рис.1</w:t>
      </w:r>
      <w:r w:rsidR="00BD1905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. Степень доверия</w:t>
      </w:r>
      <w:r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финансовы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м</w:t>
      </w:r>
      <w:r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организаци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ям</w:t>
      </w:r>
    </w:p>
    <w:p w:rsidR="00582720" w:rsidRDefault="0092283F" w:rsidP="005157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39F7">
        <w:rPr>
          <w:rFonts w:ascii="Times New Roman" w:hAnsi="Times New Roman"/>
          <w:sz w:val="28"/>
          <w:szCs w:val="28"/>
        </w:rPr>
        <w:lastRenderedPageBreak/>
        <w:t xml:space="preserve">При оценке степени удовлетворенности потребителями продуктами/услугами </w:t>
      </w:r>
      <w:r w:rsidRPr="0092283F">
        <w:rPr>
          <w:rFonts w:ascii="Times New Roman" w:hAnsi="Times New Roman"/>
          <w:sz w:val="28"/>
          <w:szCs w:val="28"/>
        </w:rPr>
        <w:t xml:space="preserve">финансовых организаций </w:t>
      </w:r>
      <w:r w:rsidR="005157A7">
        <w:rPr>
          <w:rFonts w:ascii="Times New Roman" w:hAnsi="Times New Roman"/>
          <w:sz w:val="28"/>
          <w:szCs w:val="28"/>
        </w:rPr>
        <w:t>(рис. 1</w:t>
      </w:r>
      <w:r w:rsidR="00BD1905">
        <w:rPr>
          <w:rFonts w:ascii="Times New Roman" w:hAnsi="Times New Roman"/>
          <w:sz w:val="28"/>
          <w:szCs w:val="28"/>
        </w:rPr>
        <w:t>6</w:t>
      </w:r>
      <w:r w:rsidR="005157A7">
        <w:rPr>
          <w:rFonts w:ascii="Times New Roman" w:hAnsi="Times New Roman"/>
          <w:sz w:val="28"/>
          <w:szCs w:val="28"/>
        </w:rPr>
        <w:t>) респонденты больше удовлетворены работой банков (</w:t>
      </w:r>
      <w:r w:rsidR="003F492F">
        <w:rPr>
          <w:rFonts w:ascii="Times New Roman" w:hAnsi="Times New Roman"/>
          <w:sz w:val="28"/>
          <w:szCs w:val="28"/>
        </w:rPr>
        <w:t>7</w:t>
      </w:r>
      <w:r w:rsidR="001079CC">
        <w:rPr>
          <w:rFonts w:ascii="Times New Roman" w:hAnsi="Times New Roman"/>
          <w:sz w:val="28"/>
          <w:szCs w:val="28"/>
        </w:rPr>
        <w:t>2</w:t>
      </w:r>
      <w:r w:rsidR="005157A7">
        <w:rPr>
          <w:rFonts w:ascii="Times New Roman" w:hAnsi="Times New Roman"/>
          <w:sz w:val="28"/>
          <w:szCs w:val="28"/>
        </w:rPr>
        <w:t>%), с остальными финансовыми организациями большинств</w:t>
      </w:r>
      <w:r w:rsidR="00582720">
        <w:rPr>
          <w:rFonts w:ascii="Times New Roman" w:hAnsi="Times New Roman"/>
          <w:sz w:val="28"/>
          <w:szCs w:val="28"/>
        </w:rPr>
        <w:t>о не сталкивались.</w:t>
      </w:r>
    </w:p>
    <w:p w:rsidR="0092283F" w:rsidRDefault="005157A7" w:rsidP="005827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BE6133" wp14:editId="1AA3C7CF">
            <wp:extent cx="6027420" cy="2438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2283F" w:rsidRDefault="005157A7" w:rsidP="005157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Рис.1</w:t>
      </w:r>
      <w:r w:rsidR="00BD1905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. У</w:t>
      </w:r>
      <w:r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довлетворен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ность</w:t>
      </w:r>
      <w:r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продуктами</w:t>
      </w:r>
      <w:r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услугами</w:t>
      </w:r>
      <w:r w:rsidRPr="003F5EB0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финансовых организаций</w:t>
      </w:r>
    </w:p>
    <w:p w:rsidR="00130CA1" w:rsidRDefault="00130CA1" w:rsidP="00130CA1">
      <w:pPr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D83227">
        <w:rPr>
          <w:rFonts w:ascii="Times New Roman" w:hAnsi="Times New Roman"/>
          <w:i/>
          <w:sz w:val="24"/>
          <w:szCs w:val="28"/>
        </w:rPr>
        <w:t xml:space="preserve">Таблица </w:t>
      </w:r>
      <w:r w:rsidR="00484B08">
        <w:rPr>
          <w:rFonts w:ascii="Times New Roman" w:hAnsi="Times New Roman"/>
          <w:i/>
          <w:sz w:val="24"/>
          <w:szCs w:val="28"/>
        </w:rPr>
        <w:t>7</w:t>
      </w:r>
    </w:p>
    <w:p w:rsidR="009F15DC" w:rsidRPr="009F15DC" w:rsidRDefault="009F15DC" w:rsidP="009F15DC">
      <w:pPr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26F0D">
        <w:rPr>
          <w:rFonts w:ascii="Times New Roman" w:hAnsi="Times New Roman"/>
          <w:b/>
          <w:sz w:val="24"/>
          <w:szCs w:val="28"/>
        </w:rPr>
        <w:t>Удовлетворенность качеством и ассортиментом банковских отделений</w:t>
      </w:r>
      <w:r w:rsidR="00057815" w:rsidRPr="00526F0D">
        <w:rPr>
          <w:rFonts w:ascii="Times New Roman" w:hAnsi="Times New Roman"/>
          <w:b/>
          <w:sz w:val="24"/>
          <w:szCs w:val="28"/>
        </w:rPr>
        <w:t>, как наиболее востребованным финансовым организациям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409"/>
        <w:gridCol w:w="2608"/>
      </w:tblGrid>
      <w:tr w:rsidR="00130CA1" w:rsidTr="00D83227">
        <w:tc>
          <w:tcPr>
            <w:tcW w:w="1809" w:type="dxa"/>
            <w:tcBorders>
              <w:top w:val="nil"/>
              <w:left w:val="nil"/>
              <w:bottom w:val="single" w:sz="8" w:space="0" w:color="auto"/>
            </w:tcBorders>
          </w:tcPr>
          <w:p w:rsidR="00130CA1" w:rsidRPr="00D83227" w:rsidRDefault="00130CA1" w:rsidP="009F15D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30CA1" w:rsidRPr="00D83227" w:rsidRDefault="00130CA1" w:rsidP="009F1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130CA1" w:rsidRPr="00D83227" w:rsidRDefault="00130CA1" w:rsidP="009F1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130CA1" w:rsidRPr="00CE18FB" w:rsidRDefault="00130CA1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18FB">
              <w:rPr>
                <w:rFonts w:ascii="Times New Roman" w:hAnsi="Times New Roman"/>
                <w:sz w:val="24"/>
                <w:szCs w:val="28"/>
              </w:rPr>
              <w:t>Количество и удобство расположения банковских отделений</w:t>
            </w:r>
          </w:p>
        </w:tc>
        <w:tc>
          <w:tcPr>
            <w:tcW w:w="2409" w:type="dxa"/>
          </w:tcPr>
          <w:p w:rsidR="00130CA1" w:rsidRPr="00CE18FB" w:rsidRDefault="00130CA1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18FB">
              <w:rPr>
                <w:rFonts w:ascii="Times New Roman" w:hAnsi="Times New Roman"/>
                <w:sz w:val="24"/>
                <w:szCs w:val="28"/>
              </w:rPr>
              <w:t>Качество дистанционного банковского обслуживания</w:t>
            </w:r>
          </w:p>
        </w:tc>
        <w:tc>
          <w:tcPr>
            <w:tcW w:w="2608" w:type="dxa"/>
          </w:tcPr>
          <w:p w:rsidR="00130CA1" w:rsidRPr="00CE18FB" w:rsidRDefault="00130CA1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18FB">
              <w:rPr>
                <w:rFonts w:ascii="Times New Roman" w:hAnsi="Times New Roman"/>
                <w:sz w:val="24"/>
                <w:szCs w:val="28"/>
              </w:rPr>
              <w:t>Выбор различных банков для получения необходимых услуг</w:t>
            </w:r>
          </w:p>
        </w:tc>
      </w:tr>
      <w:tr w:rsidR="00130CA1" w:rsidTr="00D83227"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130CA1" w:rsidRPr="00D83227" w:rsidRDefault="00130CA1" w:rsidP="009F1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Полностью удовлетворен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130CA1" w:rsidRPr="00D83227" w:rsidRDefault="00F80712" w:rsidP="00FC4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130CA1" w:rsidRPr="00D83227" w:rsidRDefault="00F80712" w:rsidP="00FC4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608" w:type="dxa"/>
            <w:tcBorders>
              <w:bottom w:val="single" w:sz="8" w:space="0" w:color="auto"/>
            </w:tcBorders>
          </w:tcPr>
          <w:p w:rsidR="00130CA1" w:rsidRPr="00D83227" w:rsidRDefault="00F80712" w:rsidP="00FC4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D83227" w:rsidTr="00D8322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130CA1" w:rsidRPr="00D83227" w:rsidRDefault="00130CA1" w:rsidP="009F1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Скорее удовлетворен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130CA1" w:rsidRPr="00D83227" w:rsidRDefault="00862439" w:rsidP="00F8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F80712">
              <w:rPr>
                <w:rFonts w:ascii="Times New Roman" w:hAnsi="Times New Roman"/>
                <w:sz w:val="24"/>
                <w:szCs w:val="28"/>
              </w:rPr>
              <w:t>9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130CA1" w:rsidTr="00D83227">
        <w:tc>
          <w:tcPr>
            <w:tcW w:w="1809" w:type="dxa"/>
            <w:tcBorders>
              <w:top w:val="single" w:sz="8" w:space="0" w:color="auto"/>
            </w:tcBorders>
          </w:tcPr>
          <w:p w:rsidR="00130CA1" w:rsidRPr="00D83227" w:rsidRDefault="00130CA1" w:rsidP="009F1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Скорее не удовлетворен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8" w:space="0" w:color="auto"/>
            </w:tcBorders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608" w:type="dxa"/>
            <w:tcBorders>
              <w:top w:val="single" w:sz="8" w:space="0" w:color="auto"/>
            </w:tcBorders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130CA1" w:rsidTr="00D83227">
        <w:tc>
          <w:tcPr>
            <w:tcW w:w="1809" w:type="dxa"/>
          </w:tcPr>
          <w:p w:rsidR="00130CA1" w:rsidRPr="00D83227" w:rsidRDefault="00130CA1" w:rsidP="009F1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83227">
              <w:rPr>
                <w:rFonts w:ascii="Times New Roman" w:hAnsi="Times New Roman"/>
                <w:sz w:val="24"/>
                <w:szCs w:val="28"/>
              </w:rPr>
              <w:t>Полностью не удовлетворен</w:t>
            </w:r>
          </w:p>
        </w:tc>
        <w:tc>
          <w:tcPr>
            <w:tcW w:w="2694" w:type="dxa"/>
          </w:tcPr>
          <w:p w:rsidR="00130CA1" w:rsidRPr="00D83227" w:rsidRDefault="00862439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409" w:type="dxa"/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130CA1" w:rsidRPr="00D8322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608" w:type="dxa"/>
          </w:tcPr>
          <w:p w:rsidR="00130CA1" w:rsidRPr="00D83227" w:rsidRDefault="00F80712" w:rsidP="009F1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9F15DC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FC468D" w:rsidTr="00D83227">
        <w:tc>
          <w:tcPr>
            <w:tcW w:w="1809" w:type="dxa"/>
          </w:tcPr>
          <w:p w:rsidR="00FC468D" w:rsidRPr="00D83227" w:rsidRDefault="00FC468D" w:rsidP="009F1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сталкивался</w:t>
            </w:r>
          </w:p>
        </w:tc>
        <w:tc>
          <w:tcPr>
            <w:tcW w:w="2694" w:type="dxa"/>
          </w:tcPr>
          <w:p w:rsidR="00FC468D" w:rsidRDefault="00FC468D" w:rsidP="00F8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F80712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409" w:type="dxa"/>
          </w:tcPr>
          <w:p w:rsidR="00FC468D" w:rsidRDefault="00862439" w:rsidP="00F8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80712">
              <w:rPr>
                <w:rFonts w:ascii="Times New Roman" w:hAnsi="Times New Roman"/>
                <w:sz w:val="24"/>
                <w:szCs w:val="28"/>
              </w:rPr>
              <w:t>5</w:t>
            </w:r>
            <w:r w:rsidR="00FC468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608" w:type="dxa"/>
          </w:tcPr>
          <w:p w:rsidR="00FC468D" w:rsidRDefault="00345691" w:rsidP="00F8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80712">
              <w:rPr>
                <w:rFonts w:ascii="Times New Roman" w:hAnsi="Times New Roman"/>
                <w:sz w:val="24"/>
                <w:szCs w:val="28"/>
              </w:rPr>
              <w:t>1</w:t>
            </w:r>
            <w:r w:rsidR="00FC468D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9477BF" w:rsidRDefault="009477BF" w:rsidP="009F1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5DC" w:rsidRDefault="009F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дистанционного обслуживания, количеством и удобством расположения и выбором различных банков потребители в большинстве скорее удовлетворены.</w:t>
      </w:r>
    </w:p>
    <w:p w:rsidR="00CF494F" w:rsidRDefault="00CF494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Большинство респондентов также скорее удовлетворены качество</w:t>
      </w:r>
      <w:r w:rsidR="0088349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интернет-связи и качеством мобильной связи (</w:t>
      </w:r>
      <w:r w:rsidR="00526F0D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640093">
        <w:rPr>
          <w:rFonts w:ascii="Times New Roman" w:hAnsi="Times New Roman"/>
          <w:sz w:val="28"/>
          <w:szCs w:val="28"/>
        </w:rPr>
        <w:t>6</w:t>
      </w:r>
      <w:r w:rsidR="00526F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соответственно).</w:t>
      </w:r>
      <w:proofErr w:type="gramEnd"/>
    </w:p>
    <w:p w:rsidR="004534E4" w:rsidRDefault="004534E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Каналы обслуживания</w:t>
      </w:r>
      <w:r w:rsidR="00057815">
        <w:rPr>
          <w:rFonts w:ascii="Times New Roman" w:hAnsi="Times New Roman"/>
          <w:sz w:val="28"/>
          <w:szCs w:val="28"/>
        </w:rPr>
        <w:t>, такие как</w:t>
      </w:r>
      <w:r w:rsidR="008C6217">
        <w:rPr>
          <w:rFonts w:ascii="Times New Roman" w:hAnsi="Times New Roman"/>
          <w:sz w:val="28"/>
          <w:szCs w:val="28"/>
        </w:rPr>
        <w:t>,</w:t>
      </w:r>
      <w:r w:rsidR="00057815">
        <w:rPr>
          <w:rFonts w:ascii="Times New Roman" w:hAnsi="Times New Roman"/>
          <w:sz w:val="28"/>
          <w:szCs w:val="28"/>
        </w:rPr>
        <w:t xml:space="preserve"> к</w:t>
      </w:r>
      <w:r w:rsidR="00057815" w:rsidRPr="00057815">
        <w:rPr>
          <w:rFonts w:ascii="Times New Roman" w:hAnsi="Times New Roman"/>
          <w:sz w:val="28"/>
          <w:szCs w:val="28"/>
        </w:rPr>
        <w:t>асса в отделении банка</w:t>
      </w:r>
      <w:r w:rsidR="00057815">
        <w:rPr>
          <w:rFonts w:ascii="Times New Roman" w:hAnsi="Times New Roman"/>
          <w:sz w:val="28"/>
          <w:szCs w:val="28"/>
        </w:rPr>
        <w:t>, б</w:t>
      </w:r>
      <w:r w:rsidR="00057815" w:rsidRPr="00057815">
        <w:rPr>
          <w:rFonts w:ascii="Times New Roman" w:hAnsi="Times New Roman"/>
          <w:sz w:val="28"/>
          <w:szCs w:val="28"/>
        </w:rPr>
        <w:t>анкомат или терминал (устройство без функции выдачи наличных денежных средств) в отделении банка</w:t>
      </w:r>
      <w:r w:rsidR="00057815">
        <w:rPr>
          <w:rFonts w:ascii="Times New Roman" w:hAnsi="Times New Roman"/>
          <w:sz w:val="28"/>
          <w:szCs w:val="28"/>
        </w:rPr>
        <w:t xml:space="preserve">, </w:t>
      </w:r>
      <w:r w:rsidR="008C6217">
        <w:rPr>
          <w:rFonts w:ascii="Times New Roman" w:hAnsi="Times New Roman"/>
          <w:sz w:val="28"/>
          <w:szCs w:val="28"/>
        </w:rPr>
        <w:t>п</w:t>
      </w:r>
      <w:r w:rsidR="008C6217" w:rsidRPr="008C6217">
        <w:rPr>
          <w:rFonts w:ascii="Times New Roman" w:hAnsi="Times New Roman"/>
          <w:sz w:val="28"/>
          <w:szCs w:val="28"/>
        </w:rPr>
        <w:t xml:space="preserve">латежный терминал для приема наличных денежных </w:t>
      </w:r>
      <w:r w:rsidR="008C6217" w:rsidRPr="008C6217">
        <w:rPr>
          <w:rFonts w:ascii="Times New Roman" w:hAnsi="Times New Roman"/>
          <w:sz w:val="28"/>
          <w:szCs w:val="28"/>
        </w:rPr>
        <w:lastRenderedPageBreak/>
        <w:t>средств с целью оплаты товаров (услуг)</w:t>
      </w:r>
      <w:r w:rsidR="00516888">
        <w:rPr>
          <w:rFonts w:ascii="Times New Roman" w:hAnsi="Times New Roman"/>
          <w:sz w:val="28"/>
          <w:szCs w:val="28"/>
        </w:rPr>
        <w:t>, б</w:t>
      </w:r>
      <w:r w:rsidR="00516888" w:rsidRPr="008C6217">
        <w:rPr>
          <w:rFonts w:ascii="Times New Roman" w:hAnsi="Times New Roman"/>
          <w:sz w:val="28"/>
          <w:szCs w:val="28"/>
        </w:rPr>
        <w:t>анкомат или терминал (устройство без функции выдачи наличных денежных средств) вне отделения банка</w:t>
      </w:r>
      <w:r w:rsidR="00516888">
        <w:rPr>
          <w:rFonts w:ascii="Times New Roman" w:hAnsi="Times New Roman"/>
          <w:sz w:val="28"/>
          <w:szCs w:val="28"/>
        </w:rPr>
        <w:t xml:space="preserve">, </w:t>
      </w:r>
      <w:r w:rsidR="00516888" w:rsidRPr="008C6217">
        <w:rPr>
          <w:rFonts w:ascii="Times New Roman" w:hAnsi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(услуг)</w:t>
      </w:r>
      <w:r w:rsidR="00516888">
        <w:rPr>
          <w:rFonts w:ascii="Times New Roman" w:hAnsi="Times New Roman"/>
          <w:sz w:val="28"/>
          <w:szCs w:val="28"/>
        </w:rPr>
        <w:t>, о</w:t>
      </w:r>
      <w:r w:rsidR="00516888" w:rsidRPr="008C6217">
        <w:rPr>
          <w:rFonts w:ascii="Times New Roman" w:hAnsi="Times New Roman"/>
          <w:sz w:val="28"/>
          <w:szCs w:val="28"/>
        </w:rPr>
        <w:t>тделение почтовой</w:t>
      </w:r>
      <w:proofErr w:type="gramEnd"/>
      <w:r w:rsidR="00516888" w:rsidRPr="008C6217">
        <w:rPr>
          <w:rFonts w:ascii="Times New Roman" w:hAnsi="Times New Roman"/>
          <w:sz w:val="28"/>
          <w:szCs w:val="28"/>
        </w:rPr>
        <w:t xml:space="preserve"> связи</w:t>
      </w:r>
      <w:r w:rsidR="00516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большинство респондентов определило как «легко доступные»</w:t>
      </w:r>
      <w:r w:rsidR="00E603EA">
        <w:rPr>
          <w:rFonts w:ascii="Times New Roman" w:hAnsi="Times New Roman"/>
          <w:sz w:val="28"/>
          <w:szCs w:val="28"/>
        </w:rPr>
        <w:t>, которыми они могут быстро воспользоваться.</w:t>
      </w:r>
    </w:p>
    <w:p w:rsidR="006474C2" w:rsidRDefault="006474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доступности каналов обслуживания изображен на рис. 17 с использованием шкалы, где оценка «</w:t>
      </w:r>
      <w:r w:rsidRPr="006474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6474C2">
        <w:rPr>
          <w:rFonts w:ascii="Times New Roman" w:hAnsi="Times New Roman"/>
          <w:sz w:val="28"/>
          <w:szCs w:val="28"/>
        </w:rPr>
        <w:t xml:space="preserve"> - могу воспользоваться быстро</w:t>
      </w:r>
      <w:r>
        <w:rPr>
          <w:rFonts w:ascii="Times New Roman" w:hAnsi="Times New Roman"/>
          <w:sz w:val="28"/>
          <w:szCs w:val="28"/>
        </w:rPr>
        <w:t xml:space="preserve">, </w:t>
      </w:r>
      <w:r w:rsidR="00F0704B">
        <w:rPr>
          <w:rFonts w:ascii="Times New Roman" w:hAnsi="Times New Roman"/>
          <w:sz w:val="28"/>
          <w:szCs w:val="28"/>
        </w:rPr>
        <w:t>а</w:t>
      </w:r>
      <w:r w:rsidRPr="006474C2">
        <w:rPr>
          <w:rFonts w:ascii="Times New Roman" w:hAnsi="Times New Roman"/>
          <w:sz w:val="28"/>
          <w:szCs w:val="28"/>
        </w:rPr>
        <w:t xml:space="preserve"> </w:t>
      </w:r>
      <w:r w:rsidR="00F0704B" w:rsidRPr="006474C2">
        <w:rPr>
          <w:rFonts w:ascii="Times New Roman" w:hAnsi="Times New Roman"/>
          <w:sz w:val="28"/>
          <w:szCs w:val="28"/>
        </w:rPr>
        <w:t>1 - на доступ трачу много времени</w:t>
      </w:r>
      <w:r w:rsidR="00F0704B">
        <w:rPr>
          <w:rFonts w:ascii="Times New Roman" w:hAnsi="Times New Roman"/>
          <w:sz w:val="28"/>
          <w:szCs w:val="28"/>
        </w:rPr>
        <w:t>.</w:t>
      </w:r>
    </w:p>
    <w:p w:rsidR="00103E30" w:rsidRPr="00103E30" w:rsidRDefault="00440BD8" w:rsidP="00440B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FBC331" wp14:editId="557BDC0E">
            <wp:extent cx="5486400" cy="3078480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90361" w:rsidRDefault="006474C2" w:rsidP="006474C2">
      <w:pPr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Рис.17. Уровень доступности каналов обслуживания</w:t>
      </w:r>
    </w:p>
    <w:p w:rsidR="00F0704B" w:rsidRPr="00F0704B" w:rsidRDefault="00F0704B" w:rsidP="00F07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Таким образом, кассой в отделении банка, банкоматом или терминалом, как в отделении банка, так и вне его, платежным терминалом </w:t>
      </w:r>
      <w:r w:rsidRPr="00F0704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для приема наличных денежных сре</w:t>
      </w:r>
      <w:proofErr w:type="gramStart"/>
      <w:r w:rsidRPr="00F0704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дств с ц</w:t>
      </w:r>
      <w:proofErr w:type="gramEnd"/>
      <w:r w:rsidRPr="00F0704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елью оплаты товаров (услуг)</w:t>
      </w:r>
      <w:r w:rsidR="00D06F07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 w:rsidR="00D06F07" w:rsidRPr="00F0704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POS-терминал</w:t>
      </w:r>
      <w:r w:rsidR="00D06F07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ом</w:t>
      </w:r>
      <w:r w:rsidR="00D06F07" w:rsidRPr="00F0704B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для безналичной оплаты с помощью банковской карты в организациях торговли (услуг)</w:t>
      </w:r>
      <w:r w:rsidR="00535287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,</w:t>
      </w:r>
      <w:r w:rsidR="00996C0E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</w:t>
      </w:r>
      <w:r w:rsidR="00535287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отделением почтовой связи </w:t>
      </w:r>
      <w:r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>опрошенные респонденты</w:t>
      </w:r>
      <w:r w:rsidR="00535287"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  <w:t xml:space="preserve"> могут воспользоваться быстро.</w:t>
      </w:r>
      <w:bookmarkStart w:id="1" w:name="_GoBack"/>
      <w:bookmarkEnd w:id="1"/>
    </w:p>
    <w:sectPr w:rsidR="00F0704B" w:rsidRPr="00F0704B" w:rsidSect="00581A49">
      <w:pgSz w:w="11906" w:h="16838"/>
      <w:pgMar w:top="851" w:right="851" w:bottom="709" w:left="156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1F" w:rsidRDefault="003C561F" w:rsidP="00A810C9">
      <w:pPr>
        <w:spacing w:after="0" w:line="240" w:lineRule="auto"/>
      </w:pPr>
      <w:r>
        <w:separator/>
      </w:r>
    </w:p>
  </w:endnote>
  <w:endnote w:type="continuationSeparator" w:id="0">
    <w:p w:rsidR="003C561F" w:rsidRDefault="003C561F" w:rsidP="00A8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7115"/>
      <w:docPartObj>
        <w:docPartGallery w:val="Page Numbers (Bottom of Page)"/>
        <w:docPartUnique/>
      </w:docPartObj>
    </w:sdtPr>
    <w:sdtContent>
      <w:p w:rsidR="00E47703" w:rsidRDefault="00E47703" w:rsidP="00B706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93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1F" w:rsidRDefault="003C561F" w:rsidP="00A810C9">
      <w:pPr>
        <w:spacing w:after="0" w:line="240" w:lineRule="auto"/>
      </w:pPr>
      <w:r>
        <w:separator/>
      </w:r>
    </w:p>
  </w:footnote>
  <w:footnote w:type="continuationSeparator" w:id="0">
    <w:p w:rsidR="003C561F" w:rsidRDefault="003C561F" w:rsidP="00A8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07"/>
    <w:multiLevelType w:val="hybridMultilevel"/>
    <w:tmpl w:val="DDB64D5C"/>
    <w:lvl w:ilvl="0" w:tplc="B48CD332">
      <w:start w:val="1"/>
      <w:numFmt w:val="bullet"/>
      <w:lvlText w:val=""/>
      <w:lvlJc w:val="left"/>
      <w:pPr>
        <w:ind w:left="14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10D608E0"/>
    <w:multiLevelType w:val="hybridMultilevel"/>
    <w:tmpl w:val="19D6971A"/>
    <w:lvl w:ilvl="0" w:tplc="2432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8F7"/>
    <w:multiLevelType w:val="hybridMultilevel"/>
    <w:tmpl w:val="ECD09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0A3BF3"/>
    <w:multiLevelType w:val="hybridMultilevel"/>
    <w:tmpl w:val="B6EC28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4C2033"/>
    <w:multiLevelType w:val="hybridMultilevel"/>
    <w:tmpl w:val="C1347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9069D9"/>
    <w:multiLevelType w:val="hybridMultilevel"/>
    <w:tmpl w:val="75407C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4D18F7"/>
    <w:multiLevelType w:val="hybridMultilevel"/>
    <w:tmpl w:val="C6B46302"/>
    <w:lvl w:ilvl="0" w:tplc="DC0A27AA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>
    <w:nsid w:val="32B327A0"/>
    <w:multiLevelType w:val="hybridMultilevel"/>
    <w:tmpl w:val="BBF2E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DF3245"/>
    <w:multiLevelType w:val="hybridMultilevel"/>
    <w:tmpl w:val="7204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206E"/>
    <w:multiLevelType w:val="hybridMultilevel"/>
    <w:tmpl w:val="D9DC5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953617"/>
    <w:multiLevelType w:val="hybridMultilevel"/>
    <w:tmpl w:val="81285326"/>
    <w:lvl w:ilvl="0" w:tplc="47A6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240352"/>
    <w:multiLevelType w:val="hybridMultilevel"/>
    <w:tmpl w:val="4CEC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69A"/>
    <w:multiLevelType w:val="hybridMultilevel"/>
    <w:tmpl w:val="D0C6E7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937C93"/>
    <w:multiLevelType w:val="hybridMultilevel"/>
    <w:tmpl w:val="BB96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6D51B3"/>
    <w:multiLevelType w:val="hybridMultilevel"/>
    <w:tmpl w:val="3086E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603C1F"/>
    <w:multiLevelType w:val="hybridMultilevel"/>
    <w:tmpl w:val="6388E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647D16"/>
    <w:multiLevelType w:val="hybridMultilevel"/>
    <w:tmpl w:val="23E80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4D5B07"/>
    <w:multiLevelType w:val="multilevel"/>
    <w:tmpl w:val="DDBE5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7D7B63"/>
    <w:multiLevelType w:val="hybridMultilevel"/>
    <w:tmpl w:val="3468F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F4654F"/>
    <w:multiLevelType w:val="hybridMultilevel"/>
    <w:tmpl w:val="BA305CD6"/>
    <w:lvl w:ilvl="0" w:tplc="DC0A2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083BF3"/>
    <w:multiLevelType w:val="hybridMultilevel"/>
    <w:tmpl w:val="691E0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7"/>
  </w:num>
  <w:num w:numId="5">
    <w:abstractNumId w:val="20"/>
  </w:num>
  <w:num w:numId="6">
    <w:abstractNumId w:val="5"/>
  </w:num>
  <w:num w:numId="7">
    <w:abstractNumId w:val="11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 w:numId="18">
    <w:abstractNumId w:val="10"/>
  </w:num>
  <w:num w:numId="19">
    <w:abstractNumId w:val="1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F"/>
    <w:rsid w:val="0000154C"/>
    <w:rsid w:val="00001BF8"/>
    <w:rsid w:val="0000271F"/>
    <w:rsid w:val="00003B44"/>
    <w:rsid w:val="00004771"/>
    <w:rsid w:val="000056F1"/>
    <w:rsid w:val="000076A4"/>
    <w:rsid w:val="00007C4C"/>
    <w:rsid w:val="00010677"/>
    <w:rsid w:val="00010E0A"/>
    <w:rsid w:val="000117E4"/>
    <w:rsid w:val="000122F8"/>
    <w:rsid w:val="00013188"/>
    <w:rsid w:val="00013693"/>
    <w:rsid w:val="00013B15"/>
    <w:rsid w:val="0001406C"/>
    <w:rsid w:val="00015A21"/>
    <w:rsid w:val="00015E85"/>
    <w:rsid w:val="00016064"/>
    <w:rsid w:val="00016EDC"/>
    <w:rsid w:val="00017459"/>
    <w:rsid w:val="00020006"/>
    <w:rsid w:val="000210FF"/>
    <w:rsid w:val="0002146B"/>
    <w:rsid w:val="00022396"/>
    <w:rsid w:val="000231FF"/>
    <w:rsid w:val="00025A82"/>
    <w:rsid w:val="00030357"/>
    <w:rsid w:val="00030454"/>
    <w:rsid w:val="00030F99"/>
    <w:rsid w:val="000324C4"/>
    <w:rsid w:val="000328C7"/>
    <w:rsid w:val="00032E3B"/>
    <w:rsid w:val="000356F4"/>
    <w:rsid w:val="00035E64"/>
    <w:rsid w:val="000362B0"/>
    <w:rsid w:val="00036300"/>
    <w:rsid w:val="00036452"/>
    <w:rsid w:val="00037314"/>
    <w:rsid w:val="00037F9B"/>
    <w:rsid w:val="00037FFE"/>
    <w:rsid w:val="00040244"/>
    <w:rsid w:val="00043253"/>
    <w:rsid w:val="00043D69"/>
    <w:rsid w:val="00044818"/>
    <w:rsid w:val="00044E91"/>
    <w:rsid w:val="000451C1"/>
    <w:rsid w:val="00045B9A"/>
    <w:rsid w:val="00045D7D"/>
    <w:rsid w:val="00046A2C"/>
    <w:rsid w:val="00047212"/>
    <w:rsid w:val="00051CF4"/>
    <w:rsid w:val="00051D68"/>
    <w:rsid w:val="00052B89"/>
    <w:rsid w:val="00055511"/>
    <w:rsid w:val="000556BB"/>
    <w:rsid w:val="0005575A"/>
    <w:rsid w:val="00055BDB"/>
    <w:rsid w:val="00056380"/>
    <w:rsid w:val="00057815"/>
    <w:rsid w:val="000604DC"/>
    <w:rsid w:val="0006238E"/>
    <w:rsid w:val="00062D02"/>
    <w:rsid w:val="00063D44"/>
    <w:rsid w:val="00063F65"/>
    <w:rsid w:val="00064292"/>
    <w:rsid w:val="00064E5F"/>
    <w:rsid w:val="0006501A"/>
    <w:rsid w:val="00065AD0"/>
    <w:rsid w:val="00065B60"/>
    <w:rsid w:val="00070578"/>
    <w:rsid w:val="00070FAC"/>
    <w:rsid w:val="00071281"/>
    <w:rsid w:val="00071B1F"/>
    <w:rsid w:val="00071E71"/>
    <w:rsid w:val="000725B7"/>
    <w:rsid w:val="00072AC8"/>
    <w:rsid w:val="00072D02"/>
    <w:rsid w:val="00072D30"/>
    <w:rsid w:val="00072D4E"/>
    <w:rsid w:val="00075A62"/>
    <w:rsid w:val="00077635"/>
    <w:rsid w:val="00077D66"/>
    <w:rsid w:val="00081403"/>
    <w:rsid w:val="00083419"/>
    <w:rsid w:val="00083758"/>
    <w:rsid w:val="000853FD"/>
    <w:rsid w:val="00085CB4"/>
    <w:rsid w:val="00085E8D"/>
    <w:rsid w:val="00086AE2"/>
    <w:rsid w:val="00086C51"/>
    <w:rsid w:val="00086E44"/>
    <w:rsid w:val="000870C4"/>
    <w:rsid w:val="00087D9F"/>
    <w:rsid w:val="00087EEA"/>
    <w:rsid w:val="00090AD1"/>
    <w:rsid w:val="0009110F"/>
    <w:rsid w:val="00092AE2"/>
    <w:rsid w:val="00096186"/>
    <w:rsid w:val="00096EB2"/>
    <w:rsid w:val="0009793B"/>
    <w:rsid w:val="000A06D0"/>
    <w:rsid w:val="000A1204"/>
    <w:rsid w:val="000A12A7"/>
    <w:rsid w:val="000A170E"/>
    <w:rsid w:val="000A19C7"/>
    <w:rsid w:val="000A2026"/>
    <w:rsid w:val="000A21F5"/>
    <w:rsid w:val="000A2390"/>
    <w:rsid w:val="000A3003"/>
    <w:rsid w:val="000A31B2"/>
    <w:rsid w:val="000A3491"/>
    <w:rsid w:val="000A34FE"/>
    <w:rsid w:val="000A4FDB"/>
    <w:rsid w:val="000B0485"/>
    <w:rsid w:val="000B0744"/>
    <w:rsid w:val="000B1C74"/>
    <w:rsid w:val="000B20C1"/>
    <w:rsid w:val="000B23CF"/>
    <w:rsid w:val="000B2D6E"/>
    <w:rsid w:val="000B3050"/>
    <w:rsid w:val="000B388C"/>
    <w:rsid w:val="000B4336"/>
    <w:rsid w:val="000B4B40"/>
    <w:rsid w:val="000B4C15"/>
    <w:rsid w:val="000B5D82"/>
    <w:rsid w:val="000B5F90"/>
    <w:rsid w:val="000B62CF"/>
    <w:rsid w:val="000B7F4A"/>
    <w:rsid w:val="000C0216"/>
    <w:rsid w:val="000C1BE6"/>
    <w:rsid w:val="000C23E8"/>
    <w:rsid w:val="000C246A"/>
    <w:rsid w:val="000C3752"/>
    <w:rsid w:val="000C3D56"/>
    <w:rsid w:val="000C3EFE"/>
    <w:rsid w:val="000C62DF"/>
    <w:rsid w:val="000D0B7A"/>
    <w:rsid w:val="000D0F39"/>
    <w:rsid w:val="000D165D"/>
    <w:rsid w:val="000D19A9"/>
    <w:rsid w:val="000D2F66"/>
    <w:rsid w:val="000D4358"/>
    <w:rsid w:val="000D6A49"/>
    <w:rsid w:val="000E0306"/>
    <w:rsid w:val="000E0897"/>
    <w:rsid w:val="000E10EF"/>
    <w:rsid w:val="000E12B2"/>
    <w:rsid w:val="000E2F01"/>
    <w:rsid w:val="000E4011"/>
    <w:rsid w:val="000E5AF1"/>
    <w:rsid w:val="000E5CF5"/>
    <w:rsid w:val="000E6377"/>
    <w:rsid w:val="000F0D13"/>
    <w:rsid w:val="000F2171"/>
    <w:rsid w:val="000F22C1"/>
    <w:rsid w:val="000F3CFE"/>
    <w:rsid w:val="000F6550"/>
    <w:rsid w:val="000F6986"/>
    <w:rsid w:val="000F6A68"/>
    <w:rsid w:val="000F7277"/>
    <w:rsid w:val="001008DA"/>
    <w:rsid w:val="001009AA"/>
    <w:rsid w:val="001009D5"/>
    <w:rsid w:val="00100AEE"/>
    <w:rsid w:val="0010242D"/>
    <w:rsid w:val="001028DB"/>
    <w:rsid w:val="001028EB"/>
    <w:rsid w:val="00102C36"/>
    <w:rsid w:val="00102D1A"/>
    <w:rsid w:val="0010379A"/>
    <w:rsid w:val="00103E30"/>
    <w:rsid w:val="00104FBC"/>
    <w:rsid w:val="001055B0"/>
    <w:rsid w:val="00105634"/>
    <w:rsid w:val="00105C65"/>
    <w:rsid w:val="00106AC5"/>
    <w:rsid w:val="00106C28"/>
    <w:rsid w:val="0010707C"/>
    <w:rsid w:val="001079CC"/>
    <w:rsid w:val="00107A2C"/>
    <w:rsid w:val="00107FD0"/>
    <w:rsid w:val="0011023D"/>
    <w:rsid w:val="00110F21"/>
    <w:rsid w:val="00111722"/>
    <w:rsid w:val="00111A08"/>
    <w:rsid w:val="001120B4"/>
    <w:rsid w:val="001129B8"/>
    <w:rsid w:val="0011336C"/>
    <w:rsid w:val="00113FE6"/>
    <w:rsid w:val="00115A71"/>
    <w:rsid w:val="00115CD5"/>
    <w:rsid w:val="001166A7"/>
    <w:rsid w:val="00117AD8"/>
    <w:rsid w:val="00120060"/>
    <w:rsid w:val="00120816"/>
    <w:rsid w:val="00123367"/>
    <w:rsid w:val="001239FC"/>
    <w:rsid w:val="00125B9B"/>
    <w:rsid w:val="00125E25"/>
    <w:rsid w:val="0012665E"/>
    <w:rsid w:val="00126F58"/>
    <w:rsid w:val="0012756A"/>
    <w:rsid w:val="00127F15"/>
    <w:rsid w:val="00130CA1"/>
    <w:rsid w:val="001313F3"/>
    <w:rsid w:val="0013434B"/>
    <w:rsid w:val="0013452E"/>
    <w:rsid w:val="001356EE"/>
    <w:rsid w:val="00135E1C"/>
    <w:rsid w:val="00136595"/>
    <w:rsid w:val="00136E11"/>
    <w:rsid w:val="001372E3"/>
    <w:rsid w:val="00141CE5"/>
    <w:rsid w:val="00141F56"/>
    <w:rsid w:val="001436AF"/>
    <w:rsid w:val="00147B22"/>
    <w:rsid w:val="00147F50"/>
    <w:rsid w:val="00151CCF"/>
    <w:rsid w:val="001527B2"/>
    <w:rsid w:val="001529F2"/>
    <w:rsid w:val="00152D85"/>
    <w:rsid w:val="00153C3C"/>
    <w:rsid w:val="00154728"/>
    <w:rsid w:val="00154E2C"/>
    <w:rsid w:val="0015664B"/>
    <w:rsid w:val="00157F0F"/>
    <w:rsid w:val="0016060C"/>
    <w:rsid w:val="0016114F"/>
    <w:rsid w:val="00161A00"/>
    <w:rsid w:val="00161C10"/>
    <w:rsid w:val="00161D40"/>
    <w:rsid w:val="00162212"/>
    <w:rsid w:val="00162315"/>
    <w:rsid w:val="00162C43"/>
    <w:rsid w:val="00164159"/>
    <w:rsid w:val="001668B5"/>
    <w:rsid w:val="00166B56"/>
    <w:rsid w:val="00166EC8"/>
    <w:rsid w:val="001670EA"/>
    <w:rsid w:val="001674D8"/>
    <w:rsid w:val="00167EC8"/>
    <w:rsid w:val="001702A3"/>
    <w:rsid w:val="00172A4D"/>
    <w:rsid w:val="00173C2B"/>
    <w:rsid w:val="001751A3"/>
    <w:rsid w:val="0017624A"/>
    <w:rsid w:val="001768B7"/>
    <w:rsid w:val="001770D2"/>
    <w:rsid w:val="00180B77"/>
    <w:rsid w:val="00180EDB"/>
    <w:rsid w:val="00182081"/>
    <w:rsid w:val="00182BAE"/>
    <w:rsid w:val="00183428"/>
    <w:rsid w:val="001837DE"/>
    <w:rsid w:val="0018724B"/>
    <w:rsid w:val="001877D8"/>
    <w:rsid w:val="001878AE"/>
    <w:rsid w:val="00187AB4"/>
    <w:rsid w:val="001908D6"/>
    <w:rsid w:val="00191F72"/>
    <w:rsid w:val="00194795"/>
    <w:rsid w:val="00196071"/>
    <w:rsid w:val="001A0E62"/>
    <w:rsid w:val="001A1679"/>
    <w:rsid w:val="001A2218"/>
    <w:rsid w:val="001A36E8"/>
    <w:rsid w:val="001A3F5A"/>
    <w:rsid w:val="001A4E29"/>
    <w:rsid w:val="001A6613"/>
    <w:rsid w:val="001A708E"/>
    <w:rsid w:val="001A7395"/>
    <w:rsid w:val="001B0863"/>
    <w:rsid w:val="001B0BEE"/>
    <w:rsid w:val="001B14E0"/>
    <w:rsid w:val="001B2AA7"/>
    <w:rsid w:val="001B331E"/>
    <w:rsid w:val="001B3642"/>
    <w:rsid w:val="001B4577"/>
    <w:rsid w:val="001B5014"/>
    <w:rsid w:val="001B52DC"/>
    <w:rsid w:val="001B648F"/>
    <w:rsid w:val="001B7860"/>
    <w:rsid w:val="001B7990"/>
    <w:rsid w:val="001B7AE1"/>
    <w:rsid w:val="001C0166"/>
    <w:rsid w:val="001C0415"/>
    <w:rsid w:val="001C2AD4"/>
    <w:rsid w:val="001C2B2B"/>
    <w:rsid w:val="001C39F4"/>
    <w:rsid w:val="001C3A18"/>
    <w:rsid w:val="001C3FFA"/>
    <w:rsid w:val="001C421F"/>
    <w:rsid w:val="001C5446"/>
    <w:rsid w:val="001C6CFA"/>
    <w:rsid w:val="001C734C"/>
    <w:rsid w:val="001C7384"/>
    <w:rsid w:val="001C7CD3"/>
    <w:rsid w:val="001D2409"/>
    <w:rsid w:val="001D2679"/>
    <w:rsid w:val="001D2773"/>
    <w:rsid w:val="001D392D"/>
    <w:rsid w:val="001D4326"/>
    <w:rsid w:val="001D5693"/>
    <w:rsid w:val="001E053C"/>
    <w:rsid w:val="001E0806"/>
    <w:rsid w:val="001E190B"/>
    <w:rsid w:val="001E2959"/>
    <w:rsid w:val="001E39BE"/>
    <w:rsid w:val="001E3FBD"/>
    <w:rsid w:val="001E5D4E"/>
    <w:rsid w:val="001E651A"/>
    <w:rsid w:val="001E7B1E"/>
    <w:rsid w:val="001E7DB9"/>
    <w:rsid w:val="001F08F3"/>
    <w:rsid w:val="001F15E2"/>
    <w:rsid w:val="001F20E2"/>
    <w:rsid w:val="001F3010"/>
    <w:rsid w:val="001F3508"/>
    <w:rsid w:val="001F3C67"/>
    <w:rsid w:val="001F5935"/>
    <w:rsid w:val="001F6B08"/>
    <w:rsid w:val="001F7431"/>
    <w:rsid w:val="001F753F"/>
    <w:rsid w:val="001F7E8C"/>
    <w:rsid w:val="0020216F"/>
    <w:rsid w:val="00203463"/>
    <w:rsid w:val="00205FAF"/>
    <w:rsid w:val="00207250"/>
    <w:rsid w:val="00207C22"/>
    <w:rsid w:val="00210324"/>
    <w:rsid w:val="00210451"/>
    <w:rsid w:val="00210AD6"/>
    <w:rsid w:val="002110BB"/>
    <w:rsid w:val="00211119"/>
    <w:rsid w:val="00211A00"/>
    <w:rsid w:val="00211FE5"/>
    <w:rsid w:val="00212C80"/>
    <w:rsid w:val="0021324B"/>
    <w:rsid w:val="00215998"/>
    <w:rsid w:val="0021691E"/>
    <w:rsid w:val="00216980"/>
    <w:rsid w:val="002203BF"/>
    <w:rsid w:val="002225A8"/>
    <w:rsid w:val="00224874"/>
    <w:rsid w:val="00225A96"/>
    <w:rsid w:val="00226AA2"/>
    <w:rsid w:val="0022768C"/>
    <w:rsid w:val="00227808"/>
    <w:rsid w:val="0023098B"/>
    <w:rsid w:val="002313B8"/>
    <w:rsid w:val="00231CD8"/>
    <w:rsid w:val="002336AE"/>
    <w:rsid w:val="00233FAE"/>
    <w:rsid w:val="00234210"/>
    <w:rsid w:val="00234892"/>
    <w:rsid w:val="00234AC3"/>
    <w:rsid w:val="00235CA7"/>
    <w:rsid w:val="0023675A"/>
    <w:rsid w:val="00236AC9"/>
    <w:rsid w:val="002372E0"/>
    <w:rsid w:val="00237303"/>
    <w:rsid w:val="0024189A"/>
    <w:rsid w:val="00242568"/>
    <w:rsid w:val="0024390B"/>
    <w:rsid w:val="0024486A"/>
    <w:rsid w:val="00245AFE"/>
    <w:rsid w:val="0025113D"/>
    <w:rsid w:val="0025198C"/>
    <w:rsid w:val="00256198"/>
    <w:rsid w:val="00256B9D"/>
    <w:rsid w:val="00256C5D"/>
    <w:rsid w:val="00257557"/>
    <w:rsid w:val="002609A8"/>
    <w:rsid w:val="002639C0"/>
    <w:rsid w:val="0026483A"/>
    <w:rsid w:val="002648E7"/>
    <w:rsid w:val="00265E18"/>
    <w:rsid w:val="002661AE"/>
    <w:rsid w:val="002668CE"/>
    <w:rsid w:val="002677B0"/>
    <w:rsid w:val="00267A87"/>
    <w:rsid w:val="00267C32"/>
    <w:rsid w:val="002702B0"/>
    <w:rsid w:val="00270B1F"/>
    <w:rsid w:val="002716D3"/>
    <w:rsid w:val="00272061"/>
    <w:rsid w:val="0027379F"/>
    <w:rsid w:val="00273C9A"/>
    <w:rsid w:val="00273EA5"/>
    <w:rsid w:val="00275579"/>
    <w:rsid w:val="002760F9"/>
    <w:rsid w:val="002778CC"/>
    <w:rsid w:val="00277DFA"/>
    <w:rsid w:val="00277E91"/>
    <w:rsid w:val="00277FC6"/>
    <w:rsid w:val="00280A1D"/>
    <w:rsid w:val="00282687"/>
    <w:rsid w:val="0028270A"/>
    <w:rsid w:val="00284DDD"/>
    <w:rsid w:val="002851D6"/>
    <w:rsid w:val="002862C9"/>
    <w:rsid w:val="00287259"/>
    <w:rsid w:val="00290427"/>
    <w:rsid w:val="002905F7"/>
    <w:rsid w:val="00290656"/>
    <w:rsid w:val="00290732"/>
    <w:rsid w:val="00290FA2"/>
    <w:rsid w:val="002914F1"/>
    <w:rsid w:val="002921F6"/>
    <w:rsid w:val="0029281D"/>
    <w:rsid w:val="00292A16"/>
    <w:rsid w:val="00293459"/>
    <w:rsid w:val="00293A3C"/>
    <w:rsid w:val="00293AD2"/>
    <w:rsid w:val="00296B6B"/>
    <w:rsid w:val="002A2D2B"/>
    <w:rsid w:val="002A2F30"/>
    <w:rsid w:val="002A3134"/>
    <w:rsid w:val="002A3470"/>
    <w:rsid w:val="002A3B5C"/>
    <w:rsid w:val="002A4423"/>
    <w:rsid w:val="002A487C"/>
    <w:rsid w:val="002A4EE8"/>
    <w:rsid w:val="002A551E"/>
    <w:rsid w:val="002A6966"/>
    <w:rsid w:val="002A788D"/>
    <w:rsid w:val="002B05D2"/>
    <w:rsid w:val="002B1A37"/>
    <w:rsid w:val="002B1C25"/>
    <w:rsid w:val="002B2F9B"/>
    <w:rsid w:val="002B4027"/>
    <w:rsid w:val="002B463E"/>
    <w:rsid w:val="002B63F8"/>
    <w:rsid w:val="002C038B"/>
    <w:rsid w:val="002C0679"/>
    <w:rsid w:val="002C1627"/>
    <w:rsid w:val="002C1768"/>
    <w:rsid w:val="002C1E5B"/>
    <w:rsid w:val="002C2075"/>
    <w:rsid w:val="002C2482"/>
    <w:rsid w:val="002C351D"/>
    <w:rsid w:val="002C4AF4"/>
    <w:rsid w:val="002C4B13"/>
    <w:rsid w:val="002C4F83"/>
    <w:rsid w:val="002C68FE"/>
    <w:rsid w:val="002C77F1"/>
    <w:rsid w:val="002D1BA6"/>
    <w:rsid w:val="002D308D"/>
    <w:rsid w:val="002D3C7B"/>
    <w:rsid w:val="002D40D6"/>
    <w:rsid w:val="002D4FF9"/>
    <w:rsid w:val="002D5D91"/>
    <w:rsid w:val="002D626A"/>
    <w:rsid w:val="002D683B"/>
    <w:rsid w:val="002D7E06"/>
    <w:rsid w:val="002E19DB"/>
    <w:rsid w:val="002E21DA"/>
    <w:rsid w:val="002E3791"/>
    <w:rsid w:val="002E4044"/>
    <w:rsid w:val="002E442F"/>
    <w:rsid w:val="002E495E"/>
    <w:rsid w:val="002E4A63"/>
    <w:rsid w:val="002E5E31"/>
    <w:rsid w:val="002E67DB"/>
    <w:rsid w:val="002E69F7"/>
    <w:rsid w:val="002E6CB1"/>
    <w:rsid w:val="002F0A22"/>
    <w:rsid w:val="002F15B8"/>
    <w:rsid w:val="002F15BD"/>
    <w:rsid w:val="002F1D8A"/>
    <w:rsid w:val="002F3664"/>
    <w:rsid w:val="002F6A9E"/>
    <w:rsid w:val="00301B7C"/>
    <w:rsid w:val="00301DB0"/>
    <w:rsid w:val="00302F24"/>
    <w:rsid w:val="0030369D"/>
    <w:rsid w:val="00303A44"/>
    <w:rsid w:val="003040E2"/>
    <w:rsid w:val="003041B3"/>
    <w:rsid w:val="00305658"/>
    <w:rsid w:val="003073E0"/>
    <w:rsid w:val="003077B5"/>
    <w:rsid w:val="0031035F"/>
    <w:rsid w:val="00312FD4"/>
    <w:rsid w:val="00314770"/>
    <w:rsid w:val="0031494A"/>
    <w:rsid w:val="00315589"/>
    <w:rsid w:val="0031606B"/>
    <w:rsid w:val="00316867"/>
    <w:rsid w:val="00316B35"/>
    <w:rsid w:val="00320621"/>
    <w:rsid w:val="003209A9"/>
    <w:rsid w:val="0032328C"/>
    <w:rsid w:val="00323C64"/>
    <w:rsid w:val="003240EF"/>
    <w:rsid w:val="00324457"/>
    <w:rsid w:val="00325407"/>
    <w:rsid w:val="00325A85"/>
    <w:rsid w:val="00330C75"/>
    <w:rsid w:val="00331C14"/>
    <w:rsid w:val="00332725"/>
    <w:rsid w:val="0033325B"/>
    <w:rsid w:val="00337FFC"/>
    <w:rsid w:val="00340124"/>
    <w:rsid w:val="003410CB"/>
    <w:rsid w:val="0034234D"/>
    <w:rsid w:val="003429D2"/>
    <w:rsid w:val="00342AF1"/>
    <w:rsid w:val="00342B2F"/>
    <w:rsid w:val="00343753"/>
    <w:rsid w:val="00345691"/>
    <w:rsid w:val="00345D71"/>
    <w:rsid w:val="00346675"/>
    <w:rsid w:val="00346CAF"/>
    <w:rsid w:val="003501AF"/>
    <w:rsid w:val="00353737"/>
    <w:rsid w:val="00353FCD"/>
    <w:rsid w:val="003543A7"/>
    <w:rsid w:val="00357239"/>
    <w:rsid w:val="00362BD8"/>
    <w:rsid w:val="0036421B"/>
    <w:rsid w:val="00364AAD"/>
    <w:rsid w:val="00365E6D"/>
    <w:rsid w:val="00367264"/>
    <w:rsid w:val="00367F06"/>
    <w:rsid w:val="003707D8"/>
    <w:rsid w:val="00371213"/>
    <w:rsid w:val="00371909"/>
    <w:rsid w:val="00371D7B"/>
    <w:rsid w:val="00372019"/>
    <w:rsid w:val="00372EE9"/>
    <w:rsid w:val="00373937"/>
    <w:rsid w:val="0037438A"/>
    <w:rsid w:val="003744BD"/>
    <w:rsid w:val="00374525"/>
    <w:rsid w:val="00375503"/>
    <w:rsid w:val="003803E4"/>
    <w:rsid w:val="00380953"/>
    <w:rsid w:val="003813FD"/>
    <w:rsid w:val="00381DBB"/>
    <w:rsid w:val="00382C85"/>
    <w:rsid w:val="00384DF8"/>
    <w:rsid w:val="0038589C"/>
    <w:rsid w:val="0038608E"/>
    <w:rsid w:val="00386A3E"/>
    <w:rsid w:val="00387ADA"/>
    <w:rsid w:val="00390D04"/>
    <w:rsid w:val="00391522"/>
    <w:rsid w:val="003923EC"/>
    <w:rsid w:val="003926FF"/>
    <w:rsid w:val="00394305"/>
    <w:rsid w:val="0039462F"/>
    <w:rsid w:val="003956FB"/>
    <w:rsid w:val="00395B59"/>
    <w:rsid w:val="00395F70"/>
    <w:rsid w:val="003965DF"/>
    <w:rsid w:val="003A125B"/>
    <w:rsid w:val="003A2C7F"/>
    <w:rsid w:val="003A3023"/>
    <w:rsid w:val="003A309F"/>
    <w:rsid w:val="003A3E8E"/>
    <w:rsid w:val="003A4727"/>
    <w:rsid w:val="003A6486"/>
    <w:rsid w:val="003B0532"/>
    <w:rsid w:val="003B0923"/>
    <w:rsid w:val="003B0D33"/>
    <w:rsid w:val="003B0FE9"/>
    <w:rsid w:val="003B1B27"/>
    <w:rsid w:val="003B1D81"/>
    <w:rsid w:val="003B1F65"/>
    <w:rsid w:val="003B2018"/>
    <w:rsid w:val="003B28E6"/>
    <w:rsid w:val="003B4FC5"/>
    <w:rsid w:val="003B4FD3"/>
    <w:rsid w:val="003B5FB0"/>
    <w:rsid w:val="003B6272"/>
    <w:rsid w:val="003B70CA"/>
    <w:rsid w:val="003B7315"/>
    <w:rsid w:val="003B7CAA"/>
    <w:rsid w:val="003C15B1"/>
    <w:rsid w:val="003C1F9B"/>
    <w:rsid w:val="003C3E4F"/>
    <w:rsid w:val="003C4238"/>
    <w:rsid w:val="003C4D83"/>
    <w:rsid w:val="003C4F37"/>
    <w:rsid w:val="003C561F"/>
    <w:rsid w:val="003C61F8"/>
    <w:rsid w:val="003C69A4"/>
    <w:rsid w:val="003C6B97"/>
    <w:rsid w:val="003C7BA4"/>
    <w:rsid w:val="003D08A7"/>
    <w:rsid w:val="003D0AFC"/>
    <w:rsid w:val="003D13BD"/>
    <w:rsid w:val="003D19BE"/>
    <w:rsid w:val="003D2298"/>
    <w:rsid w:val="003D2A57"/>
    <w:rsid w:val="003D57E7"/>
    <w:rsid w:val="003D6634"/>
    <w:rsid w:val="003E0F1A"/>
    <w:rsid w:val="003E1699"/>
    <w:rsid w:val="003E16DF"/>
    <w:rsid w:val="003E17D7"/>
    <w:rsid w:val="003E2350"/>
    <w:rsid w:val="003E2F19"/>
    <w:rsid w:val="003E3E70"/>
    <w:rsid w:val="003E4EFE"/>
    <w:rsid w:val="003E6D45"/>
    <w:rsid w:val="003E7BDE"/>
    <w:rsid w:val="003E7E62"/>
    <w:rsid w:val="003F030E"/>
    <w:rsid w:val="003F0DB7"/>
    <w:rsid w:val="003F14CD"/>
    <w:rsid w:val="003F21C8"/>
    <w:rsid w:val="003F2347"/>
    <w:rsid w:val="003F2A99"/>
    <w:rsid w:val="003F3000"/>
    <w:rsid w:val="003F492F"/>
    <w:rsid w:val="003F4982"/>
    <w:rsid w:val="003F4B0D"/>
    <w:rsid w:val="003F53C3"/>
    <w:rsid w:val="003F55A6"/>
    <w:rsid w:val="003F5EB0"/>
    <w:rsid w:val="003F6418"/>
    <w:rsid w:val="00400802"/>
    <w:rsid w:val="00400F2D"/>
    <w:rsid w:val="00402064"/>
    <w:rsid w:val="00402C13"/>
    <w:rsid w:val="00402C92"/>
    <w:rsid w:val="00405226"/>
    <w:rsid w:val="00405627"/>
    <w:rsid w:val="00407A14"/>
    <w:rsid w:val="00407DB3"/>
    <w:rsid w:val="00410C24"/>
    <w:rsid w:val="0041111D"/>
    <w:rsid w:val="004116DA"/>
    <w:rsid w:val="00411808"/>
    <w:rsid w:val="004125E2"/>
    <w:rsid w:val="004137CA"/>
    <w:rsid w:val="0041546D"/>
    <w:rsid w:val="00415798"/>
    <w:rsid w:val="00416028"/>
    <w:rsid w:val="00420040"/>
    <w:rsid w:val="004201ED"/>
    <w:rsid w:val="00421982"/>
    <w:rsid w:val="00422390"/>
    <w:rsid w:val="004239F7"/>
    <w:rsid w:val="00424877"/>
    <w:rsid w:val="00424C26"/>
    <w:rsid w:val="004259F7"/>
    <w:rsid w:val="00425FFA"/>
    <w:rsid w:val="004268C5"/>
    <w:rsid w:val="004279DB"/>
    <w:rsid w:val="0043249D"/>
    <w:rsid w:val="00432FE7"/>
    <w:rsid w:val="00433191"/>
    <w:rsid w:val="00433FA0"/>
    <w:rsid w:val="00435EFD"/>
    <w:rsid w:val="00436C40"/>
    <w:rsid w:val="00436C7D"/>
    <w:rsid w:val="004371BD"/>
    <w:rsid w:val="004372C9"/>
    <w:rsid w:val="00437542"/>
    <w:rsid w:val="0044015E"/>
    <w:rsid w:val="00440BD8"/>
    <w:rsid w:val="00441ABF"/>
    <w:rsid w:val="0044317B"/>
    <w:rsid w:val="004438D7"/>
    <w:rsid w:val="004439D2"/>
    <w:rsid w:val="0044418E"/>
    <w:rsid w:val="00444257"/>
    <w:rsid w:val="00444B87"/>
    <w:rsid w:val="00444C6A"/>
    <w:rsid w:val="0044515A"/>
    <w:rsid w:val="0044604F"/>
    <w:rsid w:val="004475C2"/>
    <w:rsid w:val="00450EFC"/>
    <w:rsid w:val="004534E4"/>
    <w:rsid w:val="00455201"/>
    <w:rsid w:val="00455396"/>
    <w:rsid w:val="00455FE5"/>
    <w:rsid w:val="004560D1"/>
    <w:rsid w:val="00457AC4"/>
    <w:rsid w:val="0046071A"/>
    <w:rsid w:val="00462795"/>
    <w:rsid w:val="004640BC"/>
    <w:rsid w:val="00465EF2"/>
    <w:rsid w:val="00466E64"/>
    <w:rsid w:val="00467819"/>
    <w:rsid w:val="004707C7"/>
    <w:rsid w:val="00471718"/>
    <w:rsid w:val="0047245B"/>
    <w:rsid w:val="00472696"/>
    <w:rsid w:val="00472A02"/>
    <w:rsid w:val="0047393D"/>
    <w:rsid w:val="0047499C"/>
    <w:rsid w:val="004762DB"/>
    <w:rsid w:val="00480EE4"/>
    <w:rsid w:val="00481DBA"/>
    <w:rsid w:val="00484583"/>
    <w:rsid w:val="00484B08"/>
    <w:rsid w:val="00485580"/>
    <w:rsid w:val="0048612E"/>
    <w:rsid w:val="00486FAC"/>
    <w:rsid w:val="00490EC2"/>
    <w:rsid w:val="004912EF"/>
    <w:rsid w:val="004929A0"/>
    <w:rsid w:val="00494E41"/>
    <w:rsid w:val="004A1C38"/>
    <w:rsid w:val="004A1FAF"/>
    <w:rsid w:val="004A2470"/>
    <w:rsid w:val="004A2E20"/>
    <w:rsid w:val="004A30DD"/>
    <w:rsid w:val="004A3431"/>
    <w:rsid w:val="004A448E"/>
    <w:rsid w:val="004A4574"/>
    <w:rsid w:val="004A4B24"/>
    <w:rsid w:val="004A616E"/>
    <w:rsid w:val="004A7642"/>
    <w:rsid w:val="004B1C78"/>
    <w:rsid w:val="004B24EC"/>
    <w:rsid w:val="004B2E0C"/>
    <w:rsid w:val="004B2FE1"/>
    <w:rsid w:val="004B4F99"/>
    <w:rsid w:val="004B52F0"/>
    <w:rsid w:val="004B5956"/>
    <w:rsid w:val="004B6106"/>
    <w:rsid w:val="004B61AD"/>
    <w:rsid w:val="004B6314"/>
    <w:rsid w:val="004C0B63"/>
    <w:rsid w:val="004C1CEE"/>
    <w:rsid w:val="004C3B94"/>
    <w:rsid w:val="004C4002"/>
    <w:rsid w:val="004C43FE"/>
    <w:rsid w:val="004C52FD"/>
    <w:rsid w:val="004C598D"/>
    <w:rsid w:val="004C646D"/>
    <w:rsid w:val="004C6FC3"/>
    <w:rsid w:val="004C74E7"/>
    <w:rsid w:val="004D2B3D"/>
    <w:rsid w:val="004D32AA"/>
    <w:rsid w:val="004D386C"/>
    <w:rsid w:val="004D5B4B"/>
    <w:rsid w:val="004D5FFB"/>
    <w:rsid w:val="004D609B"/>
    <w:rsid w:val="004D6D7C"/>
    <w:rsid w:val="004E1125"/>
    <w:rsid w:val="004E3572"/>
    <w:rsid w:val="004E3790"/>
    <w:rsid w:val="004E4248"/>
    <w:rsid w:val="004E599F"/>
    <w:rsid w:val="004E738E"/>
    <w:rsid w:val="004E79AE"/>
    <w:rsid w:val="004F47C2"/>
    <w:rsid w:val="004F4F35"/>
    <w:rsid w:val="004F5408"/>
    <w:rsid w:val="004F7238"/>
    <w:rsid w:val="00500514"/>
    <w:rsid w:val="0050087C"/>
    <w:rsid w:val="00501592"/>
    <w:rsid w:val="005016AA"/>
    <w:rsid w:val="00502723"/>
    <w:rsid w:val="005069D7"/>
    <w:rsid w:val="005075B3"/>
    <w:rsid w:val="00507BA0"/>
    <w:rsid w:val="005104DD"/>
    <w:rsid w:val="00510698"/>
    <w:rsid w:val="005115C0"/>
    <w:rsid w:val="00511DE2"/>
    <w:rsid w:val="005128AE"/>
    <w:rsid w:val="00512CF6"/>
    <w:rsid w:val="00512E20"/>
    <w:rsid w:val="00514530"/>
    <w:rsid w:val="00514E86"/>
    <w:rsid w:val="005157A7"/>
    <w:rsid w:val="0051671A"/>
    <w:rsid w:val="00516888"/>
    <w:rsid w:val="0052122A"/>
    <w:rsid w:val="00522058"/>
    <w:rsid w:val="0052269F"/>
    <w:rsid w:val="00522FA2"/>
    <w:rsid w:val="00524497"/>
    <w:rsid w:val="00524518"/>
    <w:rsid w:val="00525122"/>
    <w:rsid w:val="005261F8"/>
    <w:rsid w:val="00526EB5"/>
    <w:rsid w:val="00526F0D"/>
    <w:rsid w:val="005300C6"/>
    <w:rsid w:val="0053058E"/>
    <w:rsid w:val="0053098E"/>
    <w:rsid w:val="00530CE9"/>
    <w:rsid w:val="00531CEC"/>
    <w:rsid w:val="00532371"/>
    <w:rsid w:val="00533184"/>
    <w:rsid w:val="00533228"/>
    <w:rsid w:val="0053475C"/>
    <w:rsid w:val="005349A9"/>
    <w:rsid w:val="00534BD7"/>
    <w:rsid w:val="00535287"/>
    <w:rsid w:val="005354E2"/>
    <w:rsid w:val="0053598B"/>
    <w:rsid w:val="005376D4"/>
    <w:rsid w:val="00537C39"/>
    <w:rsid w:val="00540233"/>
    <w:rsid w:val="005406A7"/>
    <w:rsid w:val="005415A1"/>
    <w:rsid w:val="00541834"/>
    <w:rsid w:val="0054195B"/>
    <w:rsid w:val="00541F93"/>
    <w:rsid w:val="005434D9"/>
    <w:rsid w:val="00546F59"/>
    <w:rsid w:val="00547772"/>
    <w:rsid w:val="005509FE"/>
    <w:rsid w:val="005524A9"/>
    <w:rsid w:val="00552F84"/>
    <w:rsid w:val="005530AC"/>
    <w:rsid w:val="00553207"/>
    <w:rsid w:val="00554C5F"/>
    <w:rsid w:val="00554EF4"/>
    <w:rsid w:val="0055521A"/>
    <w:rsid w:val="005556B8"/>
    <w:rsid w:val="005557F3"/>
    <w:rsid w:val="005573BA"/>
    <w:rsid w:val="00557D01"/>
    <w:rsid w:val="0056138D"/>
    <w:rsid w:val="00562A47"/>
    <w:rsid w:val="00566505"/>
    <w:rsid w:val="00566A6A"/>
    <w:rsid w:val="00566C73"/>
    <w:rsid w:val="00567096"/>
    <w:rsid w:val="00567BAF"/>
    <w:rsid w:val="00567DF7"/>
    <w:rsid w:val="00567EEF"/>
    <w:rsid w:val="0057137C"/>
    <w:rsid w:val="005717E1"/>
    <w:rsid w:val="00573324"/>
    <w:rsid w:val="00574EB5"/>
    <w:rsid w:val="00575175"/>
    <w:rsid w:val="005755FF"/>
    <w:rsid w:val="00576D5A"/>
    <w:rsid w:val="00577207"/>
    <w:rsid w:val="00577761"/>
    <w:rsid w:val="00577F46"/>
    <w:rsid w:val="00581A49"/>
    <w:rsid w:val="0058271F"/>
    <w:rsid w:val="00582720"/>
    <w:rsid w:val="0058302F"/>
    <w:rsid w:val="005832F4"/>
    <w:rsid w:val="00583B98"/>
    <w:rsid w:val="00583E4B"/>
    <w:rsid w:val="00584BB4"/>
    <w:rsid w:val="00584EE3"/>
    <w:rsid w:val="0058588A"/>
    <w:rsid w:val="00585931"/>
    <w:rsid w:val="00585A0A"/>
    <w:rsid w:val="005875A4"/>
    <w:rsid w:val="005902EB"/>
    <w:rsid w:val="00592AF0"/>
    <w:rsid w:val="00594AA2"/>
    <w:rsid w:val="0059538A"/>
    <w:rsid w:val="00595E83"/>
    <w:rsid w:val="0059660E"/>
    <w:rsid w:val="005A013A"/>
    <w:rsid w:val="005A0252"/>
    <w:rsid w:val="005A042A"/>
    <w:rsid w:val="005A242E"/>
    <w:rsid w:val="005A27BD"/>
    <w:rsid w:val="005A2933"/>
    <w:rsid w:val="005A29C9"/>
    <w:rsid w:val="005A4349"/>
    <w:rsid w:val="005A4853"/>
    <w:rsid w:val="005A4C9C"/>
    <w:rsid w:val="005A4D81"/>
    <w:rsid w:val="005A57C7"/>
    <w:rsid w:val="005A6041"/>
    <w:rsid w:val="005A60B3"/>
    <w:rsid w:val="005A67F9"/>
    <w:rsid w:val="005A6C5C"/>
    <w:rsid w:val="005B04A7"/>
    <w:rsid w:val="005B172D"/>
    <w:rsid w:val="005B1ECB"/>
    <w:rsid w:val="005B2113"/>
    <w:rsid w:val="005B3B5B"/>
    <w:rsid w:val="005B3D8F"/>
    <w:rsid w:val="005B481D"/>
    <w:rsid w:val="005B50E9"/>
    <w:rsid w:val="005B55C5"/>
    <w:rsid w:val="005B56C8"/>
    <w:rsid w:val="005B66E0"/>
    <w:rsid w:val="005B76A3"/>
    <w:rsid w:val="005C0E79"/>
    <w:rsid w:val="005C0F95"/>
    <w:rsid w:val="005C1182"/>
    <w:rsid w:val="005C3787"/>
    <w:rsid w:val="005C45AF"/>
    <w:rsid w:val="005C4B0E"/>
    <w:rsid w:val="005C5283"/>
    <w:rsid w:val="005C6882"/>
    <w:rsid w:val="005C6F52"/>
    <w:rsid w:val="005D0A5E"/>
    <w:rsid w:val="005D0AEE"/>
    <w:rsid w:val="005D1B16"/>
    <w:rsid w:val="005D2B23"/>
    <w:rsid w:val="005D2BDB"/>
    <w:rsid w:val="005D2E8B"/>
    <w:rsid w:val="005D3097"/>
    <w:rsid w:val="005D3DBB"/>
    <w:rsid w:val="005D45C1"/>
    <w:rsid w:val="005D570A"/>
    <w:rsid w:val="005D73E3"/>
    <w:rsid w:val="005E2096"/>
    <w:rsid w:val="005E2804"/>
    <w:rsid w:val="005E3072"/>
    <w:rsid w:val="005E3173"/>
    <w:rsid w:val="005E4A39"/>
    <w:rsid w:val="005E6543"/>
    <w:rsid w:val="005F171C"/>
    <w:rsid w:val="005F1DCA"/>
    <w:rsid w:val="005F247E"/>
    <w:rsid w:val="005F302F"/>
    <w:rsid w:val="005F45F2"/>
    <w:rsid w:val="005F4606"/>
    <w:rsid w:val="005F51EA"/>
    <w:rsid w:val="005F63FA"/>
    <w:rsid w:val="005F70AA"/>
    <w:rsid w:val="00601067"/>
    <w:rsid w:val="0060243F"/>
    <w:rsid w:val="006048E3"/>
    <w:rsid w:val="0060674A"/>
    <w:rsid w:val="006071D5"/>
    <w:rsid w:val="00607DF6"/>
    <w:rsid w:val="00610191"/>
    <w:rsid w:val="0061067C"/>
    <w:rsid w:val="006110BA"/>
    <w:rsid w:val="00615C0F"/>
    <w:rsid w:val="006167FE"/>
    <w:rsid w:val="00617BEB"/>
    <w:rsid w:val="00620F02"/>
    <w:rsid w:val="0062195C"/>
    <w:rsid w:val="00623B77"/>
    <w:rsid w:val="00627E4B"/>
    <w:rsid w:val="006309EE"/>
    <w:rsid w:val="00631298"/>
    <w:rsid w:val="00631585"/>
    <w:rsid w:val="00631CE3"/>
    <w:rsid w:val="00631F69"/>
    <w:rsid w:val="0063244C"/>
    <w:rsid w:val="006324C6"/>
    <w:rsid w:val="00632D09"/>
    <w:rsid w:val="00632D1E"/>
    <w:rsid w:val="00632D49"/>
    <w:rsid w:val="00637D16"/>
    <w:rsid w:val="00640093"/>
    <w:rsid w:val="006401E3"/>
    <w:rsid w:val="006405F5"/>
    <w:rsid w:val="00641CD1"/>
    <w:rsid w:val="0064229D"/>
    <w:rsid w:val="00644E52"/>
    <w:rsid w:val="00645B9A"/>
    <w:rsid w:val="006463DC"/>
    <w:rsid w:val="0064647F"/>
    <w:rsid w:val="006474C2"/>
    <w:rsid w:val="00647551"/>
    <w:rsid w:val="00650359"/>
    <w:rsid w:val="0065151F"/>
    <w:rsid w:val="00651CB6"/>
    <w:rsid w:val="00652063"/>
    <w:rsid w:val="00652262"/>
    <w:rsid w:val="006528DE"/>
    <w:rsid w:val="0065356D"/>
    <w:rsid w:val="0065364C"/>
    <w:rsid w:val="00653969"/>
    <w:rsid w:val="00653E35"/>
    <w:rsid w:val="00656503"/>
    <w:rsid w:val="006571B3"/>
    <w:rsid w:val="00661877"/>
    <w:rsid w:val="00661FCB"/>
    <w:rsid w:val="00662416"/>
    <w:rsid w:val="0066273C"/>
    <w:rsid w:val="0066327D"/>
    <w:rsid w:val="006635AB"/>
    <w:rsid w:val="00664F10"/>
    <w:rsid w:val="00670534"/>
    <w:rsid w:val="006724E0"/>
    <w:rsid w:val="00673891"/>
    <w:rsid w:val="00673D80"/>
    <w:rsid w:val="00675375"/>
    <w:rsid w:val="00677BB3"/>
    <w:rsid w:val="00677F99"/>
    <w:rsid w:val="00680ADB"/>
    <w:rsid w:val="0068131F"/>
    <w:rsid w:val="0068242E"/>
    <w:rsid w:val="00682E84"/>
    <w:rsid w:val="00683D43"/>
    <w:rsid w:val="00684D39"/>
    <w:rsid w:val="0068576F"/>
    <w:rsid w:val="0068663C"/>
    <w:rsid w:val="0068694E"/>
    <w:rsid w:val="00686D0B"/>
    <w:rsid w:val="006910AC"/>
    <w:rsid w:val="00695813"/>
    <w:rsid w:val="00696E52"/>
    <w:rsid w:val="0069700F"/>
    <w:rsid w:val="006A009F"/>
    <w:rsid w:val="006A0471"/>
    <w:rsid w:val="006A0A36"/>
    <w:rsid w:val="006A0CCC"/>
    <w:rsid w:val="006A121A"/>
    <w:rsid w:val="006A1A64"/>
    <w:rsid w:val="006A1AF5"/>
    <w:rsid w:val="006A24AA"/>
    <w:rsid w:val="006A2683"/>
    <w:rsid w:val="006A2C27"/>
    <w:rsid w:val="006A2C37"/>
    <w:rsid w:val="006A3221"/>
    <w:rsid w:val="006A61A2"/>
    <w:rsid w:val="006A6402"/>
    <w:rsid w:val="006A6959"/>
    <w:rsid w:val="006A74BF"/>
    <w:rsid w:val="006A7D8E"/>
    <w:rsid w:val="006B0E82"/>
    <w:rsid w:val="006B180F"/>
    <w:rsid w:val="006B1FAD"/>
    <w:rsid w:val="006B219F"/>
    <w:rsid w:val="006B3673"/>
    <w:rsid w:val="006B3FE5"/>
    <w:rsid w:val="006B5013"/>
    <w:rsid w:val="006B603E"/>
    <w:rsid w:val="006B6E7A"/>
    <w:rsid w:val="006B70F6"/>
    <w:rsid w:val="006B7AEA"/>
    <w:rsid w:val="006C06CD"/>
    <w:rsid w:val="006C0AD0"/>
    <w:rsid w:val="006C1F23"/>
    <w:rsid w:val="006C3BE4"/>
    <w:rsid w:val="006C3CCA"/>
    <w:rsid w:val="006C40D0"/>
    <w:rsid w:val="006C4983"/>
    <w:rsid w:val="006C51B0"/>
    <w:rsid w:val="006C5C67"/>
    <w:rsid w:val="006C5EB4"/>
    <w:rsid w:val="006C6B46"/>
    <w:rsid w:val="006C6EE1"/>
    <w:rsid w:val="006D05E8"/>
    <w:rsid w:val="006D11FF"/>
    <w:rsid w:val="006D1500"/>
    <w:rsid w:val="006D1CC8"/>
    <w:rsid w:val="006D1DB2"/>
    <w:rsid w:val="006D2181"/>
    <w:rsid w:val="006D278D"/>
    <w:rsid w:val="006D2A5A"/>
    <w:rsid w:val="006D4F81"/>
    <w:rsid w:val="006D5872"/>
    <w:rsid w:val="006E01D2"/>
    <w:rsid w:val="006E043B"/>
    <w:rsid w:val="006E05B5"/>
    <w:rsid w:val="006E215A"/>
    <w:rsid w:val="006E2475"/>
    <w:rsid w:val="006E3720"/>
    <w:rsid w:val="006E38E8"/>
    <w:rsid w:val="006E4A72"/>
    <w:rsid w:val="006E6BBC"/>
    <w:rsid w:val="006F0255"/>
    <w:rsid w:val="006F19EC"/>
    <w:rsid w:val="006F2233"/>
    <w:rsid w:val="006F306C"/>
    <w:rsid w:val="006F3CAD"/>
    <w:rsid w:val="006F46B4"/>
    <w:rsid w:val="006F7633"/>
    <w:rsid w:val="006F79B0"/>
    <w:rsid w:val="006F7A1E"/>
    <w:rsid w:val="006F7D99"/>
    <w:rsid w:val="006F7E06"/>
    <w:rsid w:val="00701169"/>
    <w:rsid w:val="007030DB"/>
    <w:rsid w:val="00704E06"/>
    <w:rsid w:val="007068FA"/>
    <w:rsid w:val="00706D84"/>
    <w:rsid w:val="00706ECD"/>
    <w:rsid w:val="0071065B"/>
    <w:rsid w:val="00713938"/>
    <w:rsid w:val="00713C54"/>
    <w:rsid w:val="00714011"/>
    <w:rsid w:val="007147E2"/>
    <w:rsid w:val="0071665F"/>
    <w:rsid w:val="007171CD"/>
    <w:rsid w:val="00720761"/>
    <w:rsid w:val="00720F63"/>
    <w:rsid w:val="007210A1"/>
    <w:rsid w:val="007217DB"/>
    <w:rsid w:val="00721920"/>
    <w:rsid w:val="00721D04"/>
    <w:rsid w:val="00726BF7"/>
    <w:rsid w:val="0072717F"/>
    <w:rsid w:val="00727470"/>
    <w:rsid w:val="0072783C"/>
    <w:rsid w:val="00730242"/>
    <w:rsid w:val="00731309"/>
    <w:rsid w:val="007317C9"/>
    <w:rsid w:val="00732322"/>
    <w:rsid w:val="00732603"/>
    <w:rsid w:val="00732AF7"/>
    <w:rsid w:val="00734273"/>
    <w:rsid w:val="00734402"/>
    <w:rsid w:val="007362E2"/>
    <w:rsid w:val="007365A5"/>
    <w:rsid w:val="00736BE4"/>
    <w:rsid w:val="007375E0"/>
    <w:rsid w:val="007411AC"/>
    <w:rsid w:val="00741415"/>
    <w:rsid w:val="007415C7"/>
    <w:rsid w:val="007417A0"/>
    <w:rsid w:val="00741C85"/>
    <w:rsid w:val="00742272"/>
    <w:rsid w:val="00742FE4"/>
    <w:rsid w:val="00743606"/>
    <w:rsid w:val="00743A3C"/>
    <w:rsid w:val="00743AF8"/>
    <w:rsid w:val="00744778"/>
    <w:rsid w:val="007449BC"/>
    <w:rsid w:val="00744D24"/>
    <w:rsid w:val="007453BA"/>
    <w:rsid w:val="00747622"/>
    <w:rsid w:val="007477B9"/>
    <w:rsid w:val="00747BE2"/>
    <w:rsid w:val="00751497"/>
    <w:rsid w:val="007519EA"/>
    <w:rsid w:val="007523A3"/>
    <w:rsid w:val="00752566"/>
    <w:rsid w:val="0075403F"/>
    <w:rsid w:val="00754255"/>
    <w:rsid w:val="00754873"/>
    <w:rsid w:val="00755175"/>
    <w:rsid w:val="00757246"/>
    <w:rsid w:val="00760D98"/>
    <w:rsid w:val="00761129"/>
    <w:rsid w:val="007624D7"/>
    <w:rsid w:val="00763861"/>
    <w:rsid w:val="00764DBB"/>
    <w:rsid w:val="00765270"/>
    <w:rsid w:val="007664B5"/>
    <w:rsid w:val="0076741B"/>
    <w:rsid w:val="00767C64"/>
    <w:rsid w:val="007719B8"/>
    <w:rsid w:val="00771EE1"/>
    <w:rsid w:val="00772221"/>
    <w:rsid w:val="00772676"/>
    <w:rsid w:val="00772E7A"/>
    <w:rsid w:val="00772F76"/>
    <w:rsid w:val="00773816"/>
    <w:rsid w:val="00774E09"/>
    <w:rsid w:val="00774E30"/>
    <w:rsid w:val="007770CE"/>
    <w:rsid w:val="0077752C"/>
    <w:rsid w:val="00780ED1"/>
    <w:rsid w:val="00781BF9"/>
    <w:rsid w:val="0078210B"/>
    <w:rsid w:val="00782914"/>
    <w:rsid w:val="00782EC5"/>
    <w:rsid w:val="00783224"/>
    <w:rsid w:val="00784D51"/>
    <w:rsid w:val="00785B8D"/>
    <w:rsid w:val="00785DE1"/>
    <w:rsid w:val="00786BEB"/>
    <w:rsid w:val="007873C8"/>
    <w:rsid w:val="0078795D"/>
    <w:rsid w:val="00787A97"/>
    <w:rsid w:val="00790361"/>
    <w:rsid w:val="00790A8F"/>
    <w:rsid w:val="007911D2"/>
    <w:rsid w:val="00791757"/>
    <w:rsid w:val="00792EBF"/>
    <w:rsid w:val="00792ED6"/>
    <w:rsid w:val="007931D7"/>
    <w:rsid w:val="00794098"/>
    <w:rsid w:val="007964D1"/>
    <w:rsid w:val="007967D5"/>
    <w:rsid w:val="007A05A3"/>
    <w:rsid w:val="007A073A"/>
    <w:rsid w:val="007A1733"/>
    <w:rsid w:val="007A2DD3"/>
    <w:rsid w:val="007A325F"/>
    <w:rsid w:val="007A4499"/>
    <w:rsid w:val="007A48D9"/>
    <w:rsid w:val="007A4E11"/>
    <w:rsid w:val="007A5215"/>
    <w:rsid w:val="007A6B23"/>
    <w:rsid w:val="007A6C82"/>
    <w:rsid w:val="007A7419"/>
    <w:rsid w:val="007A7E42"/>
    <w:rsid w:val="007B0538"/>
    <w:rsid w:val="007B1008"/>
    <w:rsid w:val="007B19BD"/>
    <w:rsid w:val="007B41D7"/>
    <w:rsid w:val="007B5FE1"/>
    <w:rsid w:val="007B6D62"/>
    <w:rsid w:val="007B715E"/>
    <w:rsid w:val="007C16D3"/>
    <w:rsid w:val="007C299F"/>
    <w:rsid w:val="007C3A77"/>
    <w:rsid w:val="007C58A1"/>
    <w:rsid w:val="007C58A7"/>
    <w:rsid w:val="007C6133"/>
    <w:rsid w:val="007C64EE"/>
    <w:rsid w:val="007C6658"/>
    <w:rsid w:val="007C6B23"/>
    <w:rsid w:val="007C6CF1"/>
    <w:rsid w:val="007D0F31"/>
    <w:rsid w:val="007D1BC3"/>
    <w:rsid w:val="007D214C"/>
    <w:rsid w:val="007D2EE1"/>
    <w:rsid w:val="007D4234"/>
    <w:rsid w:val="007D46BB"/>
    <w:rsid w:val="007D4B6E"/>
    <w:rsid w:val="007D4D25"/>
    <w:rsid w:val="007D4FCC"/>
    <w:rsid w:val="007D610F"/>
    <w:rsid w:val="007D6BBE"/>
    <w:rsid w:val="007D6BFB"/>
    <w:rsid w:val="007D77DA"/>
    <w:rsid w:val="007D7A10"/>
    <w:rsid w:val="007D7F80"/>
    <w:rsid w:val="007E007D"/>
    <w:rsid w:val="007E0E89"/>
    <w:rsid w:val="007E10CB"/>
    <w:rsid w:val="007E180F"/>
    <w:rsid w:val="007E2926"/>
    <w:rsid w:val="007E7213"/>
    <w:rsid w:val="007E77F6"/>
    <w:rsid w:val="007F0418"/>
    <w:rsid w:val="007F1A57"/>
    <w:rsid w:val="007F24FB"/>
    <w:rsid w:val="007F28ED"/>
    <w:rsid w:val="007F66C8"/>
    <w:rsid w:val="008025B3"/>
    <w:rsid w:val="0080261F"/>
    <w:rsid w:val="00802FC7"/>
    <w:rsid w:val="008033A4"/>
    <w:rsid w:val="00804334"/>
    <w:rsid w:val="00806C90"/>
    <w:rsid w:val="00806DF0"/>
    <w:rsid w:val="008071FE"/>
    <w:rsid w:val="008106ED"/>
    <w:rsid w:val="00810D30"/>
    <w:rsid w:val="0081106D"/>
    <w:rsid w:val="0081197D"/>
    <w:rsid w:val="00814774"/>
    <w:rsid w:val="008148B0"/>
    <w:rsid w:val="008159D7"/>
    <w:rsid w:val="00815AFA"/>
    <w:rsid w:val="008160F3"/>
    <w:rsid w:val="0081729A"/>
    <w:rsid w:val="00820995"/>
    <w:rsid w:val="00821B8A"/>
    <w:rsid w:val="0082205C"/>
    <w:rsid w:val="00822429"/>
    <w:rsid w:val="00823406"/>
    <w:rsid w:val="008239C2"/>
    <w:rsid w:val="00824323"/>
    <w:rsid w:val="008254B3"/>
    <w:rsid w:val="0082583D"/>
    <w:rsid w:val="00827207"/>
    <w:rsid w:val="00827348"/>
    <w:rsid w:val="0082780A"/>
    <w:rsid w:val="0082799F"/>
    <w:rsid w:val="0083001E"/>
    <w:rsid w:val="00830BAE"/>
    <w:rsid w:val="008314CC"/>
    <w:rsid w:val="0083239A"/>
    <w:rsid w:val="008347BA"/>
    <w:rsid w:val="00835F6A"/>
    <w:rsid w:val="008405E5"/>
    <w:rsid w:val="00840E1B"/>
    <w:rsid w:val="00841F4E"/>
    <w:rsid w:val="00842FB8"/>
    <w:rsid w:val="0084636A"/>
    <w:rsid w:val="0084685D"/>
    <w:rsid w:val="00850122"/>
    <w:rsid w:val="00852AC5"/>
    <w:rsid w:val="0085323C"/>
    <w:rsid w:val="00857AF2"/>
    <w:rsid w:val="00857CEC"/>
    <w:rsid w:val="008603C9"/>
    <w:rsid w:val="00860E5B"/>
    <w:rsid w:val="008611B6"/>
    <w:rsid w:val="00862439"/>
    <w:rsid w:val="00863D27"/>
    <w:rsid w:val="00863D29"/>
    <w:rsid w:val="00865698"/>
    <w:rsid w:val="0086789E"/>
    <w:rsid w:val="00867ADA"/>
    <w:rsid w:val="00870900"/>
    <w:rsid w:val="00870A8D"/>
    <w:rsid w:val="00870BFD"/>
    <w:rsid w:val="00870C6C"/>
    <w:rsid w:val="00871F5A"/>
    <w:rsid w:val="008721E8"/>
    <w:rsid w:val="008754BB"/>
    <w:rsid w:val="00875F87"/>
    <w:rsid w:val="0087692F"/>
    <w:rsid w:val="00876A5B"/>
    <w:rsid w:val="00877B19"/>
    <w:rsid w:val="00877BD6"/>
    <w:rsid w:val="008802F0"/>
    <w:rsid w:val="0088043A"/>
    <w:rsid w:val="00880554"/>
    <w:rsid w:val="00881C46"/>
    <w:rsid w:val="008821B3"/>
    <w:rsid w:val="0088287D"/>
    <w:rsid w:val="0088349C"/>
    <w:rsid w:val="00884199"/>
    <w:rsid w:val="00885DFE"/>
    <w:rsid w:val="00887BD5"/>
    <w:rsid w:val="00887BDF"/>
    <w:rsid w:val="00890669"/>
    <w:rsid w:val="0089184F"/>
    <w:rsid w:val="00891D10"/>
    <w:rsid w:val="00893166"/>
    <w:rsid w:val="0089365A"/>
    <w:rsid w:val="00895D17"/>
    <w:rsid w:val="008A32C4"/>
    <w:rsid w:val="008A3AFE"/>
    <w:rsid w:val="008A536C"/>
    <w:rsid w:val="008A551B"/>
    <w:rsid w:val="008B0D21"/>
    <w:rsid w:val="008B117D"/>
    <w:rsid w:val="008B11D8"/>
    <w:rsid w:val="008B129F"/>
    <w:rsid w:val="008B1DE1"/>
    <w:rsid w:val="008B4F9E"/>
    <w:rsid w:val="008B62FA"/>
    <w:rsid w:val="008B62FF"/>
    <w:rsid w:val="008B75F6"/>
    <w:rsid w:val="008C0817"/>
    <w:rsid w:val="008C0E5A"/>
    <w:rsid w:val="008C1990"/>
    <w:rsid w:val="008C3BEE"/>
    <w:rsid w:val="008C5E96"/>
    <w:rsid w:val="008C6172"/>
    <w:rsid w:val="008C61FA"/>
    <w:rsid w:val="008C6217"/>
    <w:rsid w:val="008D0623"/>
    <w:rsid w:val="008D1BB7"/>
    <w:rsid w:val="008D1F1F"/>
    <w:rsid w:val="008D2D83"/>
    <w:rsid w:val="008D4C40"/>
    <w:rsid w:val="008D6563"/>
    <w:rsid w:val="008D6CB9"/>
    <w:rsid w:val="008D748B"/>
    <w:rsid w:val="008D797B"/>
    <w:rsid w:val="008D7FDC"/>
    <w:rsid w:val="008E091C"/>
    <w:rsid w:val="008E09CA"/>
    <w:rsid w:val="008E1E7F"/>
    <w:rsid w:val="008E6405"/>
    <w:rsid w:val="008E6820"/>
    <w:rsid w:val="008E7D22"/>
    <w:rsid w:val="008F05C0"/>
    <w:rsid w:val="008F0B32"/>
    <w:rsid w:val="008F102F"/>
    <w:rsid w:val="008F1643"/>
    <w:rsid w:val="008F38CE"/>
    <w:rsid w:val="008F3C09"/>
    <w:rsid w:val="00900270"/>
    <w:rsid w:val="00904153"/>
    <w:rsid w:val="009047C9"/>
    <w:rsid w:val="00904DBA"/>
    <w:rsid w:val="00905695"/>
    <w:rsid w:val="0090624A"/>
    <w:rsid w:val="009066D1"/>
    <w:rsid w:val="009121F0"/>
    <w:rsid w:val="00913228"/>
    <w:rsid w:val="00914B11"/>
    <w:rsid w:val="00915548"/>
    <w:rsid w:val="00916DCF"/>
    <w:rsid w:val="009172D1"/>
    <w:rsid w:val="00920BC4"/>
    <w:rsid w:val="00920CE3"/>
    <w:rsid w:val="009219B4"/>
    <w:rsid w:val="0092283F"/>
    <w:rsid w:val="00922E7C"/>
    <w:rsid w:val="009235B7"/>
    <w:rsid w:val="00923D38"/>
    <w:rsid w:val="00923FEB"/>
    <w:rsid w:val="00924186"/>
    <w:rsid w:val="0092528F"/>
    <w:rsid w:val="00925973"/>
    <w:rsid w:val="0092733B"/>
    <w:rsid w:val="009300FD"/>
    <w:rsid w:val="00931104"/>
    <w:rsid w:val="00932D10"/>
    <w:rsid w:val="00932E43"/>
    <w:rsid w:val="00933CDB"/>
    <w:rsid w:val="00933F75"/>
    <w:rsid w:val="00934250"/>
    <w:rsid w:val="009357B7"/>
    <w:rsid w:val="009371D4"/>
    <w:rsid w:val="00937845"/>
    <w:rsid w:val="00937E23"/>
    <w:rsid w:val="00937E3D"/>
    <w:rsid w:val="00937E8E"/>
    <w:rsid w:val="009416C3"/>
    <w:rsid w:val="009417A1"/>
    <w:rsid w:val="0094381C"/>
    <w:rsid w:val="00943CE5"/>
    <w:rsid w:val="00943E2C"/>
    <w:rsid w:val="009464D2"/>
    <w:rsid w:val="00946720"/>
    <w:rsid w:val="009477BF"/>
    <w:rsid w:val="0095009C"/>
    <w:rsid w:val="0095184A"/>
    <w:rsid w:val="00951BD1"/>
    <w:rsid w:val="00952668"/>
    <w:rsid w:val="00952CB1"/>
    <w:rsid w:val="00953BD1"/>
    <w:rsid w:val="0095486B"/>
    <w:rsid w:val="00954D98"/>
    <w:rsid w:val="00954E19"/>
    <w:rsid w:val="00955A86"/>
    <w:rsid w:val="00955FBD"/>
    <w:rsid w:val="00956F50"/>
    <w:rsid w:val="009571C8"/>
    <w:rsid w:val="00957A7B"/>
    <w:rsid w:val="00961C5E"/>
    <w:rsid w:val="00961F39"/>
    <w:rsid w:val="0096247F"/>
    <w:rsid w:val="00962B8F"/>
    <w:rsid w:val="0096372B"/>
    <w:rsid w:val="00963834"/>
    <w:rsid w:val="00963A9A"/>
    <w:rsid w:val="009648AD"/>
    <w:rsid w:val="00964DA9"/>
    <w:rsid w:val="00966A25"/>
    <w:rsid w:val="00966DC1"/>
    <w:rsid w:val="00967661"/>
    <w:rsid w:val="00967C05"/>
    <w:rsid w:val="0097035E"/>
    <w:rsid w:val="00971D07"/>
    <w:rsid w:val="00973553"/>
    <w:rsid w:val="0097756E"/>
    <w:rsid w:val="009777FA"/>
    <w:rsid w:val="00977E3D"/>
    <w:rsid w:val="00980859"/>
    <w:rsid w:val="0098194C"/>
    <w:rsid w:val="00981D38"/>
    <w:rsid w:val="00984666"/>
    <w:rsid w:val="00984B1E"/>
    <w:rsid w:val="009853A3"/>
    <w:rsid w:val="00985E96"/>
    <w:rsid w:val="009863E9"/>
    <w:rsid w:val="0098705C"/>
    <w:rsid w:val="00990558"/>
    <w:rsid w:val="009907E4"/>
    <w:rsid w:val="00990940"/>
    <w:rsid w:val="00990EF2"/>
    <w:rsid w:val="009917B3"/>
    <w:rsid w:val="00991B48"/>
    <w:rsid w:val="00992296"/>
    <w:rsid w:val="009925D1"/>
    <w:rsid w:val="009928A1"/>
    <w:rsid w:val="009934D6"/>
    <w:rsid w:val="00993B06"/>
    <w:rsid w:val="0099636D"/>
    <w:rsid w:val="00996C0E"/>
    <w:rsid w:val="009A0892"/>
    <w:rsid w:val="009A0BBC"/>
    <w:rsid w:val="009A1CA6"/>
    <w:rsid w:val="009A36B2"/>
    <w:rsid w:val="009A384D"/>
    <w:rsid w:val="009A4CE0"/>
    <w:rsid w:val="009A50EF"/>
    <w:rsid w:val="009A55D9"/>
    <w:rsid w:val="009B1CAD"/>
    <w:rsid w:val="009B35F5"/>
    <w:rsid w:val="009B3C5D"/>
    <w:rsid w:val="009B4B95"/>
    <w:rsid w:val="009B6F5B"/>
    <w:rsid w:val="009B7A1E"/>
    <w:rsid w:val="009C0495"/>
    <w:rsid w:val="009C0728"/>
    <w:rsid w:val="009C0A9E"/>
    <w:rsid w:val="009C23FF"/>
    <w:rsid w:val="009C2B59"/>
    <w:rsid w:val="009C380C"/>
    <w:rsid w:val="009C6138"/>
    <w:rsid w:val="009C6E73"/>
    <w:rsid w:val="009C7290"/>
    <w:rsid w:val="009C78A6"/>
    <w:rsid w:val="009C7D20"/>
    <w:rsid w:val="009D01AF"/>
    <w:rsid w:val="009D18AF"/>
    <w:rsid w:val="009D2C72"/>
    <w:rsid w:val="009D36D1"/>
    <w:rsid w:val="009D457A"/>
    <w:rsid w:val="009D52A3"/>
    <w:rsid w:val="009D5EAA"/>
    <w:rsid w:val="009D628A"/>
    <w:rsid w:val="009D62EE"/>
    <w:rsid w:val="009D799C"/>
    <w:rsid w:val="009D7B7B"/>
    <w:rsid w:val="009E0A61"/>
    <w:rsid w:val="009E0C88"/>
    <w:rsid w:val="009E0F6A"/>
    <w:rsid w:val="009E15AF"/>
    <w:rsid w:val="009E21AC"/>
    <w:rsid w:val="009E2819"/>
    <w:rsid w:val="009E2AC0"/>
    <w:rsid w:val="009E2F66"/>
    <w:rsid w:val="009E3891"/>
    <w:rsid w:val="009E3C86"/>
    <w:rsid w:val="009E47A3"/>
    <w:rsid w:val="009E4EAB"/>
    <w:rsid w:val="009E523F"/>
    <w:rsid w:val="009E5E46"/>
    <w:rsid w:val="009E76AF"/>
    <w:rsid w:val="009E76BD"/>
    <w:rsid w:val="009F15A7"/>
    <w:rsid w:val="009F15DC"/>
    <w:rsid w:val="009F1741"/>
    <w:rsid w:val="009F177C"/>
    <w:rsid w:val="009F2060"/>
    <w:rsid w:val="009F2166"/>
    <w:rsid w:val="009F426C"/>
    <w:rsid w:val="009F54AB"/>
    <w:rsid w:val="009F6E0C"/>
    <w:rsid w:val="009F7082"/>
    <w:rsid w:val="009F78B2"/>
    <w:rsid w:val="00A01FCC"/>
    <w:rsid w:val="00A021CC"/>
    <w:rsid w:val="00A029D8"/>
    <w:rsid w:val="00A03FF5"/>
    <w:rsid w:val="00A04875"/>
    <w:rsid w:val="00A05A5D"/>
    <w:rsid w:val="00A06611"/>
    <w:rsid w:val="00A06777"/>
    <w:rsid w:val="00A07EA0"/>
    <w:rsid w:val="00A12360"/>
    <w:rsid w:val="00A128D3"/>
    <w:rsid w:val="00A1452A"/>
    <w:rsid w:val="00A1588A"/>
    <w:rsid w:val="00A16643"/>
    <w:rsid w:val="00A20A0E"/>
    <w:rsid w:val="00A214D3"/>
    <w:rsid w:val="00A21D50"/>
    <w:rsid w:val="00A230D1"/>
    <w:rsid w:val="00A23267"/>
    <w:rsid w:val="00A234EA"/>
    <w:rsid w:val="00A249E3"/>
    <w:rsid w:val="00A25536"/>
    <w:rsid w:val="00A257A4"/>
    <w:rsid w:val="00A2593B"/>
    <w:rsid w:val="00A25B1E"/>
    <w:rsid w:val="00A279CF"/>
    <w:rsid w:val="00A27DB9"/>
    <w:rsid w:val="00A31284"/>
    <w:rsid w:val="00A3129C"/>
    <w:rsid w:val="00A3342D"/>
    <w:rsid w:val="00A3378B"/>
    <w:rsid w:val="00A34B21"/>
    <w:rsid w:val="00A350D0"/>
    <w:rsid w:val="00A35766"/>
    <w:rsid w:val="00A36228"/>
    <w:rsid w:val="00A363A1"/>
    <w:rsid w:val="00A37C49"/>
    <w:rsid w:val="00A37EF8"/>
    <w:rsid w:val="00A40B8E"/>
    <w:rsid w:val="00A41A36"/>
    <w:rsid w:val="00A42D98"/>
    <w:rsid w:val="00A43A13"/>
    <w:rsid w:val="00A45074"/>
    <w:rsid w:val="00A454DE"/>
    <w:rsid w:val="00A47720"/>
    <w:rsid w:val="00A5041A"/>
    <w:rsid w:val="00A50B51"/>
    <w:rsid w:val="00A52636"/>
    <w:rsid w:val="00A52E69"/>
    <w:rsid w:val="00A530FB"/>
    <w:rsid w:val="00A54463"/>
    <w:rsid w:val="00A56025"/>
    <w:rsid w:val="00A60180"/>
    <w:rsid w:val="00A61BA5"/>
    <w:rsid w:val="00A660A7"/>
    <w:rsid w:val="00A66DC8"/>
    <w:rsid w:val="00A672FA"/>
    <w:rsid w:val="00A67FAC"/>
    <w:rsid w:val="00A67FD1"/>
    <w:rsid w:val="00A72D1B"/>
    <w:rsid w:val="00A7322D"/>
    <w:rsid w:val="00A738A2"/>
    <w:rsid w:val="00A73BF9"/>
    <w:rsid w:val="00A74D0F"/>
    <w:rsid w:val="00A75D14"/>
    <w:rsid w:val="00A77758"/>
    <w:rsid w:val="00A8016A"/>
    <w:rsid w:val="00A80C9E"/>
    <w:rsid w:val="00A810AB"/>
    <w:rsid w:val="00A810C9"/>
    <w:rsid w:val="00A8184E"/>
    <w:rsid w:val="00A81A8C"/>
    <w:rsid w:val="00A82200"/>
    <w:rsid w:val="00A9035C"/>
    <w:rsid w:val="00A90384"/>
    <w:rsid w:val="00A91A10"/>
    <w:rsid w:val="00A91FB5"/>
    <w:rsid w:val="00A92812"/>
    <w:rsid w:val="00A934B8"/>
    <w:rsid w:val="00A93593"/>
    <w:rsid w:val="00A9432A"/>
    <w:rsid w:val="00A95DE1"/>
    <w:rsid w:val="00A95E2C"/>
    <w:rsid w:val="00AA039E"/>
    <w:rsid w:val="00AA09E0"/>
    <w:rsid w:val="00AA0AD8"/>
    <w:rsid w:val="00AA0B60"/>
    <w:rsid w:val="00AA246B"/>
    <w:rsid w:val="00AA2C90"/>
    <w:rsid w:val="00AA2D6D"/>
    <w:rsid w:val="00AA309E"/>
    <w:rsid w:val="00AA4632"/>
    <w:rsid w:val="00AA4A2C"/>
    <w:rsid w:val="00AA5694"/>
    <w:rsid w:val="00AA6569"/>
    <w:rsid w:val="00AA7435"/>
    <w:rsid w:val="00AA7516"/>
    <w:rsid w:val="00AB0475"/>
    <w:rsid w:val="00AB0C43"/>
    <w:rsid w:val="00AB12C1"/>
    <w:rsid w:val="00AB1FA9"/>
    <w:rsid w:val="00AB6571"/>
    <w:rsid w:val="00AB7FE8"/>
    <w:rsid w:val="00AC1487"/>
    <w:rsid w:val="00AC2310"/>
    <w:rsid w:val="00AC2499"/>
    <w:rsid w:val="00AC250B"/>
    <w:rsid w:val="00AC3D7C"/>
    <w:rsid w:val="00AC4646"/>
    <w:rsid w:val="00AC655F"/>
    <w:rsid w:val="00AC65CD"/>
    <w:rsid w:val="00AC6687"/>
    <w:rsid w:val="00AC74EE"/>
    <w:rsid w:val="00AD0470"/>
    <w:rsid w:val="00AD11FA"/>
    <w:rsid w:val="00AD125E"/>
    <w:rsid w:val="00AD25ED"/>
    <w:rsid w:val="00AD2A74"/>
    <w:rsid w:val="00AD3812"/>
    <w:rsid w:val="00AD5227"/>
    <w:rsid w:val="00AD6243"/>
    <w:rsid w:val="00AD683B"/>
    <w:rsid w:val="00AD7519"/>
    <w:rsid w:val="00AE19CB"/>
    <w:rsid w:val="00AE2A6A"/>
    <w:rsid w:val="00AE3424"/>
    <w:rsid w:val="00AE3C77"/>
    <w:rsid w:val="00AE5322"/>
    <w:rsid w:val="00AE5432"/>
    <w:rsid w:val="00AE6EBE"/>
    <w:rsid w:val="00AF15A3"/>
    <w:rsid w:val="00AF3D14"/>
    <w:rsid w:val="00AF439F"/>
    <w:rsid w:val="00AF59F0"/>
    <w:rsid w:val="00AF626F"/>
    <w:rsid w:val="00AF6C92"/>
    <w:rsid w:val="00B00504"/>
    <w:rsid w:val="00B03645"/>
    <w:rsid w:val="00B03C0D"/>
    <w:rsid w:val="00B041BD"/>
    <w:rsid w:val="00B04BFF"/>
    <w:rsid w:val="00B06766"/>
    <w:rsid w:val="00B06DBE"/>
    <w:rsid w:val="00B1075D"/>
    <w:rsid w:val="00B11052"/>
    <w:rsid w:val="00B12DA6"/>
    <w:rsid w:val="00B1576A"/>
    <w:rsid w:val="00B160E3"/>
    <w:rsid w:val="00B20BC9"/>
    <w:rsid w:val="00B21391"/>
    <w:rsid w:val="00B21D94"/>
    <w:rsid w:val="00B22B85"/>
    <w:rsid w:val="00B22FA9"/>
    <w:rsid w:val="00B263BA"/>
    <w:rsid w:val="00B26766"/>
    <w:rsid w:val="00B30F26"/>
    <w:rsid w:val="00B31220"/>
    <w:rsid w:val="00B32B77"/>
    <w:rsid w:val="00B32E39"/>
    <w:rsid w:val="00B3327C"/>
    <w:rsid w:val="00B332DC"/>
    <w:rsid w:val="00B349F6"/>
    <w:rsid w:val="00B34B7C"/>
    <w:rsid w:val="00B34BE2"/>
    <w:rsid w:val="00B363EA"/>
    <w:rsid w:val="00B3774D"/>
    <w:rsid w:val="00B3799A"/>
    <w:rsid w:val="00B433E6"/>
    <w:rsid w:val="00B43F9A"/>
    <w:rsid w:val="00B44200"/>
    <w:rsid w:val="00B45074"/>
    <w:rsid w:val="00B45A28"/>
    <w:rsid w:val="00B46337"/>
    <w:rsid w:val="00B4738E"/>
    <w:rsid w:val="00B47B5F"/>
    <w:rsid w:val="00B47C0B"/>
    <w:rsid w:val="00B50738"/>
    <w:rsid w:val="00B50761"/>
    <w:rsid w:val="00B5467B"/>
    <w:rsid w:val="00B5596C"/>
    <w:rsid w:val="00B55DE4"/>
    <w:rsid w:val="00B564B6"/>
    <w:rsid w:val="00B56606"/>
    <w:rsid w:val="00B5696A"/>
    <w:rsid w:val="00B575C2"/>
    <w:rsid w:val="00B577E3"/>
    <w:rsid w:val="00B604EE"/>
    <w:rsid w:val="00B60F96"/>
    <w:rsid w:val="00B622DD"/>
    <w:rsid w:val="00B62337"/>
    <w:rsid w:val="00B65057"/>
    <w:rsid w:val="00B659B7"/>
    <w:rsid w:val="00B65A5D"/>
    <w:rsid w:val="00B67A89"/>
    <w:rsid w:val="00B7012F"/>
    <w:rsid w:val="00B70698"/>
    <w:rsid w:val="00B70873"/>
    <w:rsid w:val="00B7166C"/>
    <w:rsid w:val="00B722B3"/>
    <w:rsid w:val="00B72DF1"/>
    <w:rsid w:val="00B72F0A"/>
    <w:rsid w:val="00B743CA"/>
    <w:rsid w:val="00B74A8B"/>
    <w:rsid w:val="00B74AA4"/>
    <w:rsid w:val="00B75547"/>
    <w:rsid w:val="00B764D9"/>
    <w:rsid w:val="00B80353"/>
    <w:rsid w:val="00B82013"/>
    <w:rsid w:val="00B83774"/>
    <w:rsid w:val="00B84C21"/>
    <w:rsid w:val="00B84F99"/>
    <w:rsid w:val="00B85041"/>
    <w:rsid w:val="00B91478"/>
    <w:rsid w:val="00B91D31"/>
    <w:rsid w:val="00B92D9B"/>
    <w:rsid w:val="00B97BF8"/>
    <w:rsid w:val="00BA06FD"/>
    <w:rsid w:val="00BA2C23"/>
    <w:rsid w:val="00BA2EA9"/>
    <w:rsid w:val="00BA3AFD"/>
    <w:rsid w:val="00BA51F0"/>
    <w:rsid w:val="00BA5CEE"/>
    <w:rsid w:val="00BA76D0"/>
    <w:rsid w:val="00BA7830"/>
    <w:rsid w:val="00BB1B1E"/>
    <w:rsid w:val="00BB3C47"/>
    <w:rsid w:val="00BB3E55"/>
    <w:rsid w:val="00BB4CD4"/>
    <w:rsid w:val="00BB4FBB"/>
    <w:rsid w:val="00BB5D56"/>
    <w:rsid w:val="00BB6AAF"/>
    <w:rsid w:val="00BB7699"/>
    <w:rsid w:val="00BC022C"/>
    <w:rsid w:val="00BC0CF3"/>
    <w:rsid w:val="00BC0DAD"/>
    <w:rsid w:val="00BC10B0"/>
    <w:rsid w:val="00BC116A"/>
    <w:rsid w:val="00BC1803"/>
    <w:rsid w:val="00BC192F"/>
    <w:rsid w:val="00BC1C15"/>
    <w:rsid w:val="00BC24FF"/>
    <w:rsid w:val="00BC3B35"/>
    <w:rsid w:val="00BC3B61"/>
    <w:rsid w:val="00BC49F0"/>
    <w:rsid w:val="00BC50A6"/>
    <w:rsid w:val="00BC62EF"/>
    <w:rsid w:val="00BC70B2"/>
    <w:rsid w:val="00BC7B31"/>
    <w:rsid w:val="00BD017F"/>
    <w:rsid w:val="00BD0693"/>
    <w:rsid w:val="00BD069E"/>
    <w:rsid w:val="00BD1905"/>
    <w:rsid w:val="00BD1A27"/>
    <w:rsid w:val="00BD1CD4"/>
    <w:rsid w:val="00BD2436"/>
    <w:rsid w:val="00BD2F5B"/>
    <w:rsid w:val="00BD31E1"/>
    <w:rsid w:val="00BD6219"/>
    <w:rsid w:val="00BD7323"/>
    <w:rsid w:val="00BE0A88"/>
    <w:rsid w:val="00BE0B1D"/>
    <w:rsid w:val="00BE0D48"/>
    <w:rsid w:val="00BE14E4"/>
    <w:rsid w:val="00BE2C40"/>
    <w:rsid w:val="00BE46B5"/>
    <w:rsid w:val="00BE4FF2"/>
    <w:rsid w:val="00BE6985"/>
    <w:rsid w:val="00BE72A5"/>
    <w:rsid w:val="00BF0D37"/>
    <w:rsid w:val="00BF2B16"/>
    <w:rsid w:val="00BF3F58"/>
    <w:rsid w:val="00BF3FE6"/>
    <w:rsid w:val="00BF47A9"/>
    <w:rsid w:val="00BF531B"/>
    <w:rsid w:val="00BF59C2"/>
    <w:rsid w:val="00BF59E4"/>
    <w:rsid w:val="00C00530"/>
    <w:rsid w:val="00C008F2"/>
    <w:rsid w:val="00C01E93"/>
    <w:rsid w:val="00C02117"/>
    <w:rsid w:val="00C03626"/>
    <w:rsid w:val="00C039C0"/>
    <w:rsid w:val="00C068CA"/>
    <w:rsid w:val="00C10C93"/>
    <w:rsid w:val="00C11D6B"/>
    <w:rsid w:val="00C12B20"/>
    <w:rsid w:val="00C143EB"/>
    <w:rsid w:val="00C166BC"/>
    <w:rsid w:val="00C16ACF"/>
    <w:rsid w:val="00C16CA5"/>
    <w:rsid w:val="00C17C72"/>
    <w:rsid w:val="00C2326D"/>
    <w:rsid w:val="00C23B8A"/>
    <w:rsid w:val="00C250B3"/>
    <w:rsid w:val="00C25E66"/>
    <w:rsid w:val="00C272F3"/>
    <w:rsid w:val="00C30119"/>
    <w:rsid w:val="00C3152D"/>
    <w:rsid w:val="00C3290C"/>
    <w:rsid w:val="00C331DC"/>
    <w:rsid w:val="00C3330F"/>
    <w:rsid w:val="00C33498"/>
    <w:rsid w:val="00C33B1E"/>
    <w:rsid w:val="00C3513D"/>
    <w:rsid w:val="00C36A76"/>
    <w:rsid w:val="00C36D2F"/>
    <w:rsid w:val="00C36D67"/>
    <w:rsid w:val="00C37143"/>
    <w:rsid w:val="00C3720F"/>
    <w:rsid w:val="00C3781A"/>
    <w:rsid w:val="00C37A60"/>
    <w:rsid w:val="00C37CE6"/>
    <w:rsid w:val="00C4018D"/>
    <w:rsid w:val="00C4042F"/>
    <w:rsid w:val="00C40449"/>
    <w:rsid w:val="00C40698"/>
    <w:rsid w:val="00C41086"/>
    <w:rsid w:val="00C41D06"/>
    <w:rsid w:val="00C4417E"/>
    <w:rsid w:val="00C44730"/>
    <w:rsid w:val="00C44879"/>
    <w:rsid w:val="00C457E6"/>
    <w:rsid w:val="00C45F91"/>
    <w:rsid w:val="00C46669"/>
    <w:rsid w:val="00C46EE9"/>
    <w:rsid w:val="00C472ED"/>
    <w:rsid w:val="00C47B66"/>
    <w:rsid w:val="00C50FDF"/>
    <w:rsid w:val="00C5246E"/>
    <w:rsid w:val="00C537C1"/>
    <w:rsid w:val="00C53E1A"/>
    <w:rsid w:val="00C54055"/>
    <w:rsid w:val="00C54E09"/>
    <w:rsid w:val="00C5589D"/>
    <w:rsid w:val="00C55E88"/>
    <w:rsid w:val="00C56861"/>
    <w:rsid w:val="00C56BFD"/>
    <w:rsid w:val="00C5766F"/>
    <w:rsid w:val="00C60973"/>
    <w:rsid w:val="00C61D25"/>
    <w:rsid w:val="00C62C4D"/>
    <w:rsid w:val="00C6490C"/>
    <w:rsid w:val="00C64E8E"/>
    <w:rsid w:val="00C65C4E"/>
    <w:rsid w:val="00C67810"/>
    <w:rsid w:val="00C70A6E"/>
    <w:rsid w:val="00C71450"/>
    <w:rsid w:val="00C71A95"/>
    <w:rsid w:val="00C7227F"/>
    <w:rsid w:val="00C73683"/>
    <w:rsid w:val="00C73B3C"/>
    <w:rsid w:val="00C73F44"/>
    <w:rsid w:val="00C7401C"/>
    <w:rsid w:val="00C745AC"/>
    <w:rsid w:val="00C75465"/>
    <w:rsid w:val="00C75567"/>
    <w:rsid w:val="00C7590B"/>
    <w:rsid w:val="00C75F61"/>
    <w:rsid w:val="00C76BA6"/>
    <w:rsid w:val="00C80F0A"/>
    <w:rsid w:val="00C80F37"/>
    <w:rsid w:val="00C82B3A"/>
    <w:rsid w:val="00C83177"/>
    <w:rsid w:val="00C835C7"/>
    <w:rsid w:val="00C83941"/>
    <w:rsid w:val="00C83E7C"/>
    <w:rsid w:val="00C859E7"/>
    <w:rsid w:val="00C862D4"/>
    <w:rsid w:val="00C86381"/>
    <w:rsid w:val="00C869CD"/>
    <w:rsid w:val="00C86A59"/>
    <w:rsid w:val="00C8745F"/>
    <w:rsid w:val="00C87CFB"/>
    <w:rsid w:val="00C9123E"/>
    <w:rsid w:val="00C91585"/>
    <w:rsid w:val="00C92803"/>
    <w:rsid w:val="00C92EBC"/>
    <w:rsid w:val="00C93068"/>
    <w:rsid w:val="00C93C3E"/>
    <w:rsid w:val="00C94B59"/>
    <w:rsid w:val="00C94CBD"/>
    <w:rsid w:val="00C9654E"/>
    <w:rsid w:val="00C965CE"/>
    <w:rsid w:val="00C96FA6"/>
    <w:rsid w:val="00C976BD"/>
    <w:rsid w:val="00C97FB2"/>
    <w:rsid w:val="00CA1269"/>
    <w:rsid w:val="00CA3A47"/>
    <w:rsid w:val="00CA3B1F"/>
    <w:rsid w:val="00CA4B6E"/>
    <w:rsid w:val="00CA5CBD"/>
    <w:rsid w:val="00CA6412"/>
    <w:rsid w:val="00CA6933"/>
    <w:rsid w:val="00CB2252"/>
    <w:rsid w:val="00CB3B37"/>
    <w:rsid w:val="00CB4299"/>
    <w:rsid w:val="00CB443F"/>
    <w:rsid w:val="00CB4E68"/>
    <w:rsid w:val="00CB5996"/>
    <w:rsid w:val="00CB6A87"/>
    <w:rsid w:val="00CB797E"/>
    <w:rsid w:val="00CC1990"/>
    <w:rsid w:val="00CC2637"/>
    <w:rsid w:val="00CC4E08"/>
    <w:rsid w:val="00CC5FBF"/>
    <w:rsid w:val="00CC672D"/>
    <w:rsid w:val="00CD0423"/>
    <w:rsid w:val="00CD2D74"/>
    <w:rsid w:val="00CD2F5A"/>
    <w:rsid w:val="00CD6F7C"/>
    <w:rsid w:val="00CD7191"/>
    <w:rsid w:val="00CD735E"/>
    <w:rsid w:val="00CD78B4"/>
    <w:rsid w:val="00CE1769"/>
    <w:rsid w:val="00CE18FB"/>
    <w:rsid w:val="00CE25AF"/>
    <w:rsid w:val="00CE2AA3"/>
    <w:rsid w:val="00CE31EA"/>
    <w:rsid w:val="00CE35CF"/>
    <w:rsid w:val="00CE377E"/>
    <w:rsid w:val="00CE4157"/>
    <w:rsid w:val="00CE416F"/>
    <w:rsid w:val="00CE4312"/>
    <w:rsid w:val="00CE4BE8"/>
    <w:rsid w:val="00CE7900"/>
    <w:rsid w:val="00CF1D5E"/>
    <w:rsid w:val="00CF340A"/>
    <w:rsid w:val="00CF381C"/>
    <w:rsid w:val="00CF3C98"/>
    <w:rsid w:val="00CF42DC"/>
    <w:rsid w:val="00CF434F"/>
    <w:rsid w:val="00CF494F"/>
    <w:rsid w:val="00CF4C85"/>
    <w:rsid w:val="00CF750E"/>
    <w:rsid w:val="00CF75BB"/>
    <w:rsid w:val="00CF7729"/>
    <w:rsid w:val="00D01FD7"/>
    <w:rsid w:val="00D02406"/>
    <w:rsid w:val="00D03D2E"/>
    <w:rsid w:val="00D03FEA"/>
    <w:rsid w:val="00D04936"/>
    <w:rsid w:val="00D04A00"/>
    <w:rsid w:val="00D06235"/>
    <w:rsid w:val="00D06E1D"/>
    <w:rsid w:val="00D06F07"/>
    <w:rsid w:val="00D10FC3"/>
    <w:rsid w:val="00D13D95"/>
    <w:rsid w:val="00D13E7C"/>
    <w:rsid w:val="00D1542D"/>
    <w:rsid w:val="00D1549E"/>
    <w:rsid w:val="00D15DDB"/>
    <w:rsid w:val="00D15E13"/>
    <w:rsid w:val="00D16F28"/>
    <w:rsid w:val="00D17004"/>
    <w:rsid w:val="00D17969"/>
    <w:rsid w:val="00D20355"/>
    <w:rsid w:val="00D209F2"/>
    <w:rsid w:val="00D20D3A"/>
    <w:rsid w:val="00D223C3"/>
    <w:rsid w:val="00D22505"/>
    <w:rsid w:val="00D22D44"/>
    <w:rsid w:val="00D2311B"/>
    <w:rsid w:val="00D245F0"/>
    <w:rsid w:val="00D26321"/>
    <w:rsid w:val="00D2632F"/>
    <w:rsid w:val="00D2713C"/>
    <w:rsid w:val="00D30C03"/>
    <w:rsid w:val="00D31479"/>
    <w:rsid w:val="00D31B8F"/>
    <w:rsid w:val="00D31EF2"/>
    <w:rsid w:val="00D32B91"/>
    <w:rsid w:val="00D33E53"/>
    <w:rsid w:val="00D34251"/>
    <w:rsid w:val="00D35B19"/>
    <w:rsid w:val="00D3603C"/>
    <w:rsid w:val="00D4056B"/>
    <w:rsid w:val="00D411BB"/>
    <w:rsid w:val="00D41600"/>
    <w:rsid w:val="00D427FA"/>
    <w:rsid w:val="00D43997"/>
    <w:rsid w:val="00D50814"/>
    <w:rsid w:val="00D510A0"/>
    <w:rsid w:val="00D52293"/>
    <w:rsid w:val="00D52DB1"/>
    <w:rsid w:val="00D52E53"/>
    <w:rsid w:val="00D53C9E"/>
    <w:rsid w:val="00D53E2D"/>
    <w:rsid w:val="00D54378"/>
    <w:rsid w:val="00D54573"/>
    <w:rsid w:val="00D5580E"/>
    <w:rsid w:val="00D55A97"/>
    <w:rsid w:val="00D55D5F"/>
    <w:rsid w:val="00D5636D"/>
    <w:rsid w:val="00D57D2A"/>
    <w:rsid w:val="00D60077"/>
    <w:rsid w:val="00D60B56"/>
    <w:rsid w:val="00D615A6"/>
    <w:rsid w:val="00D61795"/>
    <w:rsid w:val="00D61A70"/>
    <w:rsid w:val="00D6218A"/>
    <w:rsid w:val="00D64931"/>
    <w:rsid w:val="00D64943"/>
    <w:rsid w:val="00D6572D"/>
    <w:rsid w:val="00D65975"/>
    <w:rsid w:val="00D65AAF"/>
    <w:rsid w:val="00D662EF"/>
    <w:rsid w:val="00D6708D"/>
    <w:rsid w:val="00D671C3"/>
    <w:rsid w:val="00D67354"/>
    <w:rsid w:val="00D679B3"/>
    <w:rsid w:val="00D70081"/>
    <w:rsid w:val="00D7073E"/>
    <w:rsid w:val="00D7082A"/>
    <w:rsid w:val="00D70C47"/>
    <w:rsid w:val="00D70F14"/>
    <w:rsid w:val="00D7100F"/>
    <w:rsid w:val="00D71DDF"/>
    <w:rsid w:val="00D720C0"/>
    <w:rsid w:val="00D730B0"/>
    <w:rsid w:val="00D748FF"/>
    <w:rsid w:val="00D74FF4"/>
    <w:rsid w:val="00D756B4"/>
    <w:rsid w:val="00D809C3"/>
    <w:rsid w:val="00D80A33"/>
    <w:rsid w:val="00D81274"/>
    <w:rsid w:val="00D81A96"/>
    <w:rsid w:val="00D81D6B"/>
    <w:rsid w:val="00D823A8"/>
    <w:rsid w:val="00D8246B"/>
    <w:rsid w:val="00D82890"/>
    <w:rsid w:val="00D83227"/>
    <w:rsid w:val="00D83C2A"/>
    <w:rsid w:val="00D83D8E"/>
    <w:rsid w:val="00D843C2"/>
    <w:rsid w:val="00D8497A"/>
    <w:rsid w:val="00D86AA2"/>
    <w:rsid w:val="00D870E6"/>
    <w:rsid w:val="00D87780"/>
    <w:rsid w:val="00D87921"/>
    <w:rsid w:val="00D900CD"/>
    <w:rsid w:val="00D91873"/>
    <w:rsid w:val="00D9202A"/>
    <w:rsid w:val="00D934F5"/>
    <w:rsid w:val="00D9403E"/>
    <w:rsid w:val="00D9538B"/>
    <w:rsid w:val="00D96030"/>
    <w:rsid w:val="00D97832"/>
    <w:rsid w:val="00D97EED"/>
    <w:rsid w:val="00DA1103"/>
    <w:rsid w:val="00DA145F"/>
    <w:rsid w:val="00DA195E"/>
    <w:rsid w:val="00DA4706"/>
    <w:rsid w:val="00DA602E"/>
    <w:rsid w:val="00DA66B7"/>
    <w:rsid w:val="00DA695C"/>
    <w:rsid w:val="00DA7074"/>
    <w:rsid w:val="00DA774A"/>
    <w:rsid w:val="00DB004A"/>
    <w:rsid w:val="00DB13EE"/>
    <w:rsid w:val="00DB1462"/>
    <w:rsid w:val="00DB2AF2"/>
    <w:rsid w:val="00DB2CAA"/>
    <w:rsid w:val="00DB3174"/>
    <w:rsid w:val="00DB3B80"/>
    <w:rsid w:val="00DB452A"/>
    <w:rsid w:val="00DB4E43"/>
    <w:rsid w:val="00DC1A3D"/>
    <w:rsid w:val="00DC25AC"/>
    <w:rsid w:val="00DC28FA"/>
    <w:rsid w:val="00DC3712"/>
    <w:rsid w:val="00DC4597"/>
    <w:rsid w:val="00DC4FF5"/>
    <w:rsid w:val="00DC6C6C"/>
    <w:rsid w:val="00DC6EE0"/>
    <w:rsid w:val="00DD1042"/>
    <w:rsid w:val="00DD16F2"/>
    <w:rsid w:val="00DD3649"/>
    <w:rsid w:val="00DD4186"/>
    <w:rsid w:val="00DD4554"/>
    <w:rsid w:val="00DD53D6"/>
    <w:rsid w:val="00DD5FA8"/>
    <w:rsid w:val="00DD6E3C"/>
    <w:rsid w:val="00DD6F2D"/>
    <w:rsid w:val="00DD78EE"/>
    <w:rsid w:val="00DE0BA8"/>
    <w:rsid w:val="00DE0E57"/>
    <w:rsid w:val="00DE11F5"/>
    <w:rsid w:val="00DE29D3"/>
    <w:rsid w:val="00DE4492"/>
    <w:rsid w:val="00DE6C03"/>
    <w:rsid w:val="00DF0189"/>
    <w:rsid w:val="00DF0F42"/>
    <w:rsid w:val="00DF13BF"/>
    <w:rsid w:val="00DF1BA0"/>
    <w:rsid w:val="00DF2435"/>
    <w:rsid w:val="00DF2907"/>
    <w:rsid w:val="00DF2EB9"/>
    <w:rsid w:val="00DF384D"/>
    <w:rsid w:val="00DF43A4"/>
    <w:rsid w:val="00DF45E3"/>
    <w:rsid w:val="00DF5222"/>
    <w:rsid w:val="00DF693E"/>
    <w:rsid w:val="00DF728D"/>
    <w:rsid w:val="00DF7428"/>
    <w:rsid w:val="00DF7579"/>
    <w:rsid w:val="00E00B1D"/>
    <w:rsid w:val="00E02168"/>
    <w:rsid w:val="00E04334"/>
    <w:rsid w:val="00E04CC8"/>
    <w:rsid w:val="00E0621D"/>
    <w:rsid w:val="00E062EE"/>
    <w:rsid w:val="00E063B2"/>
    <w:rsid w:val="00E064D4"/>
    <w:rsid w:val="00E072BD"/>
    <w:rsid w:val="00E109BD"/>
    <w:rsid w:val="00E10D53"/>
    <w:rsid w:val="00E10D7A"/>
    <w:rsid w:val="00E10F03"/>
    <w:rsid w:val="00E11E74"/>
    <w:rsid w:val="00E12ABA"/>
    <w:rsid w:val="00E131AA"/>
    <w:rsid w:val="00E13410"/>
    <w:rsid w:val="00E149BC"/>
    <w:rsid w:val="00E16FCC"/>
    <w:rsid w:val="00E1725A"/>
    <w:rsid w:val="00E179B0"/>
    <w:rsid w:val="00E21449"/>
    <w:rsid w:val="00E21E19"/>
    <w:rsid w:val="00E232C8"/>
    <w:rsid w:val="00E23413"/>
    <w:rsid w:val="00E25652"/>
    <w:rsid w:val="00E30576"/>
    <w:rsid w:val="00E32CC4"/>
    <w:rsid w:val="00E3348E"/>
    <w:rsid w:val="00E341D2"/>
    <w:rsid w:val="00E34A51"/>
    <w:rsid w:val="00E3527B"/>
    <w:rsid w:val="00E352C6"/>
    <w:rsid w:val="00E36EE8"/>
    <w:rsid w:val="00E37EDD"/>
    <w:rsid w:val="00E405AB"/>
    <w:rsid w:val="00E407F4"/>
    <w:rsid w:val="00E41473"/>
    <w:rsid w:val="00E4156B"/>
    <w:rsid w:val="00E415F7"/>
    <w:rsid w:val="00E4228A"/>
    <w:rsid w:val="00E43911"/>
    <w:rsid w:val="00E46159"/>
    <w:rsid w:val="00E465ED"/>
    <w:rsid w:val="00E47703"/>
    <w:rsid w:val="00E47DA8"/>
    <w:rsid w:val="00E50281"/>
    <w:rsid w:val="00E50586"/>
    <w:rsid w:val="00E52AA1"/>
    <w:rsid w:val="00E53C32"/>
    <w:rsid w:val="00E54513"/>
    <w:rsid w:val="00E54A39"/>
    <w:rsid w:val="00E55A46"/>
    <w:rsid w:val="00E57633"/>
    <w:rsid w:val="00E576D7"/>
    <w:rsid w:val="00E603EA"/>
    <w:rsid w:val="00E604AC"/>
    <w:rsid w:val="00E61977"/>
    <w:rsid w:val="00E62170"/>
    <w:rsid w:val="00E624E9"/>
    <w:rsid w:val="00E62AA4"/>
    <w:rsid w:val="00E63825"/>
    <w:rsid w:val="00E6393D"/>
    <w:rsid w:val="00E639B2"/>
    <w:rsid w:val="00E641FA"/>
    <w:rsid w:val="00E6422D"/>
    <w:rsid w:val="00E65A7D"/>
    <w:rsid w:val="00E70727"/>
    <w:rsid w:val="00E72E78"/>
    <w:rsid w:val="00E7478E"/>
    <w:rsid w:val="00E7519E"/>
    <w:rsid w:val="00E76B8D"/>
    <w:rsid w:val="00E7757C"/>
    <w:rsid w:val="00E820F2"/>
    <w:rsid w:val="00E82420"/>
    <w:rsid w:val="00E83020"/>
    <w:rsid w:val="00E834AA"/>
    <w:rsid w:val="00E83E7A"/>
    <w:rsid w:val="00E8415F"/>
    <w:rsid w:val="00E85552"/>
    <w:rsid w:val="00E857A4"/>
    <w:rsid w:val="00E85FE8"/>
    <w:rsid w:val="00E86CE4"/>
    <w:rsid w:val="00E90769"/>
    <w:rsid w:val="00E91749"/>
    <w:rsid w:val="00E924F6"/>
    <w:rsid w:val="00E93068"/>
    <w:rsid w:val="00E938A5"/>
    <w:rsid w:val="00E93913"/>
    <w:rsid w:val="00E93EA3"/>
    <w:rsid w:val="00E94434"/>
    <w:rsid w:val="00E949B4"/>
    <w:rsid w:val="00E97565"/>
    <w:rsid w:val="00E97AD8"/>
    <w:rsid w:val="00EA18FA"/>
    <w:rsid w:val="00EA191E"/>
    <w:rsid w:val="00EA2183"/>
    <w:rsid w:val="00EA3051"/>
    <w:rsid w:val="00EA53C7"/>
    <w:rsid w:val="00EA5F1D"/>
    <w:rsid w:val="00EA6ABC"/>
    <w:rsid w:val="00EA7349"/>
    <w:rsid w:val="00EB0020"/>
    <w:rsid w:val="00EB14BE"/>
    <w:rsid w:val="00EB1751"/>
    <w:rsid w:val="00EB20E2"/>
    <w:rsid w:val="00EB2DA5"/>
    <w:rsid w:val="00EB4A8E"/>
    <w:rsid w:val="00EB4C94"/>
    <w:rsid w:val="00EB5856"/>
    <w:rsid w:val="00EB58F6"/>
    <w:rsid w:val="00EB6387"/>
    <w:rsid w:val="00EB64BF"/>
    <w:rsid w:val="00EB6C64"/>
    <w:rsid w:val="00EC00A5"/>
    <w:rsid w:val="00EC1CE9"/>
    <w:rsid w:val="00EC2B1D"/>
    <w:rsid w:val="00EC2CB0"/>
    <w:rsid w:val="00EC602D"/>
    <w:rsid w:val="00EC6679"/>
    <w:rsid w:val="00EC73F5"/>
    <w:rsid w:val="00ED04F9"/>
    <w:rsid w:val="00ED1D0F"/>
    <w:rsid w:val="00ED3273"/>
    <w:rsid w:val="00ED39C5"/>
    <w:rsid w:val="00ED3E15"/>
    <w:rsid w:val="00ED51DF"/>
    <w:rsid w:val="00ED5429"/>
    <w:rsid w:val="00ED6FC3"/>
    <w:rsid w:val="00ED7484"/>
    <w:rsid w:val="00ED79B9"/>
    <w:rsid w:val="00EE0AED"/>
    <w:rsid w:val="00EE1023"/>
    <w:rsid w:val="00EE11E1"/>
    <w:rsid w:val="00EE2815"/>
    <w:rsid w:val="00EE33BD"/>
    <w:rsid w:val="00EE381A"/>
    <w:rsid w:val="00EE397E"/>
    <w:rsid w:val="00EE7047"/>
    <w:rsid w:val="00EE7F9D"/>
    <w:rsid w:val="00EF216A"/>
    <w:rsid w:val="00EF2B18"/>
    <w:rsid w:val="00EF3132"/>
    <w:rsid w:val="00EF70AA"/>
    <w:rsid w:val="00F0091D"/>
    <w:rsid w:val="00F00F55"/>
    <w:rsid w:val="00F0220F"/>
    <w:rsid w:val="00F025B4"/>
    <w:rsid w:val="00F0382E"/>
    <w:rsid w:val="00F03CF1"/>
    <w:rsid w:val="00F041B8"/>
    <w:rsid w:val="00F0592C"/>
    <w:rsid w:val="00F0704B"/>
    <w:rsid w:val="00F07518"/>
    <w:rsid w:val="00F07550"/>
    <w:rsid w:val="00F07CC7"/>
    <w:rsid w:val="00F1049E"/>
    <w:rsid w:val="00F1184F"/>
    <w:rsid w:val="00F121E9"/>
    <w:rsid w:val="00F12E79"/>
    <w:rsid w:val="00F12F48"/>
    <w:rsid w:val="00F144B7"/>
    <w:rsid w:val="00F14EDC"/>
    <w:rsid w:val="00F1601C"/>
    <w:rsid w:val="00F1697E"/>
    <w:rsid w:val="00F16F25"/>
    <w:rsid w:val="00F1716C"/>
    <w:rsid w:val="00F20053"/>
    <w:rsid w:val="00F20638"/>
    <w:rsid w:val="00F2081A"/>
    <w:rsid w:val="00F21796"/>
    <w:rsid w:val="00F21C50"/>
    <w:rsid w:val="00F23CCF"/>
    <w:rsid w:val="00F241D5"/>
    <w:rsid w:val="00F24DB0"/>
    <w:rsid w:val="00F26EE4"/>
    <w:rsid w:val="00F26EFC"/>
    <w:rsid w:val="00F2730A"/>
    <w:rsid w:val="00F27724"/>
    <w:rsid w:val="00F31CA7"/>
    <w:rsid w:val="00F31E15"/>
    <w:rsid w:val="00F331E0"/>
    <w:rsid w:val="00F33B79"/>
    <w:rsid w:val="00F34C38"/>
    <w:rsid w:val="00F361A1"/>
    <w:rsid w:val="00F36893"/>
    <w:rsid w:val="00F36955"/>
    <w:rsid w:val="00F40566"/>
    <w:rsid w:val="00F411C6"/>
    <w:rsid w:val="00F44E96"/>
    <w:rsid w:val="00F45366"/>
    <w:rsid w:val="00F45CE0"/>
    <w:rsid w:val="00F4610D"/>
    <w:rsid w:val="00F46281"/>
    <w:rsid w:val="00F47352"/>
    <w:rsid w:val="00F47C1C"/>
    <w:rsid w:val="00F51234"/>
    <w:rsid w:val="00F51E10"/>
    <w:rsid w:val="00F51EF5"/>
    <w:rsid w:val="00F52023"/>
    <w:rsid w:val="00F52217"/>
    <w:rsid w:val="00F53BE9"/>
    <w:rsid w:val="00F55250"/>
    <w:rsid w:val="00F564D4"/>
    <w:rsid w:val="00F57C75"/>
    <w:rsid w:val="00F6193D"/>
    <w:rsid w:val="00F6247B"/>
    <w:rsid w:val="00F638A5"/>
    <w:rsid w:val="00F642AC"/>
    <w:rsid w:val="00F64770"/>
    <w:rsid w:val="00F6534E"/>
    <w:rsid w:val="00F66E60"/>
    <w:rsid w:val="00F67A6C"/>
    <w:rsid w:val="00F70A11"/>
    <w:rsid w:val="00F72E6F"/>
    <w:rsid w:val="00F73004"/>
    <w:rsid w:val="00F73C3E"/>
    <w:rsid w:val="00F7466A"/>
    <w:rsid w:val="00F75CFC"/>
    <w:rsid w:val="00F76739"/>
    <w:rsid w:val="00F8025B"/>
    <w:rsid w:val="00F806BB"/>
    <w:rsid w:val="00F80712"/>
    <w:rsid w:val="00F81709"/>
    <w:rsid w:val="00F81EED"/>
    <w:rsid w:val="00F8213D"/>
    <w:rsid w:val="00F8294B"/>
    <w:rsid w:val="00F82FCA"/>
    <w:rsid w:val="00F845B7"/>
    <w:rsid w:val="00F84F97"/>
    <w:rsid w:val="00F85D75"/>
    <w:rsid w:val="00F85FDB"/>
    <w:rsid w:val="00F87A43"/>
    <w:rsid w:val="00F87A7D"/>
    <w:rsid w:val="00F90169"/>
    <w:rsid w:val="00F908F8"/>
    <w:rsid w:val="00F90BD2"/>
    <w:rsid w:val="00F91E91"/>
    <w:rsid w:val="00F93D15"/>
    <w:rsid w:val="00F943C5"/>
    <w:rsid w:val="00F9548D"/>
    <w:rsid w:val="00F95D3E"/>
    <w:rsid w:val="00F968A1"/>
    <w:rsid w:val="00F96AEA"/>
    <w:rsid w:val="00F9700F"/>
    <w:rsid w:val="00FA0A2F"/>
    <w:rsid w:val="00FA0BC7"/>
    <w:rsid w:val="00FA10D5"/>
    <w:rsid w:val="00FA1F6C"/>
    <w:rsid w:val="00FA1FCD"/>
    <w:rsid w:val="00FA21B9"/>
    <w:rsid w:val="00FA3291"/>
    <w:rsid w:val="00FA3B7B"/>
    <w:rsid w:val="00FA3CD7"/>
    <w:rsid w:val="00FA47BA"/>
    <w:rsid w:val="00FA4AD5"/>
    <w:rsid w:val="00FA4F4C"/>
    <w:rsid w:val="00FA51FA"/>
    <w:rsid w:val="00FA56F5"/>
    <w:rsid w:val="00FA57B8"/>
    <w:rsid w:val="00FA60A7"/>
    <w:rsid w:val="00FA617E"/>
    <w:rsid w:val="00FA677F"/>
    <w:rsid w:val="00FB09E3"/>
    <w:rsid w:val="00FB1521"/>
    <w:rsid w:val="00FB1736"/>
    <w:rsid w:val="00FB17B1"/>
    <w:rsid w:val="00FB297E"/>
    <w:rsid w:val="00FB32EE"/>
    <w:rsid w:val="00FB3B30"/>
    <w:rsid w:val="00FB5378"/>
    <w:rsid w:val="00FB7D9B"/>
    <w:rsid w:val="00FC0336"/>
    <w:rsid w:val="00FC0422"/>
    <w:rsid w:val="00FC0AB2"/>
    <w:rsid w:val="00FC0D31"/>
    <w:rsid w:val="00FC1616"/>
    <w:rsid w:val="00FC24AB"/>
    <w:rsid w:val="00FC2FC9"/>
    <w:rsid w:val="00FC3508"/>
    <w:rsid w:val="00FC35BE"/>
    <w:rsid w:val="00FC36C9"/>
    <w:rsid w:val="00FC468D"/>
    <w:rsid w:val="00FC5FE9"/>
    <w:rsid w:val="00FC60EB"/>
    <w:rsid w:val="00FC6114"/>
    <w:rsid w:val="00FD02F3"/>
    <w:rsid w:val="00FD116D"/>
    <w:rsid w:val="00FD1FAF"/>
    <w:rsid w:val="00FD26DD"/>
    <w:rsid w:val="00FD2918"/>
    <w:rsid w:val="00FD3B2E"/>
    <w:rsid w:val="00FD402F"/>
    <w:rsid w:val="00FD4781"/>
    <w:rsid w:val="00FD5E82"/>
    <w:rsid w:val="00FD66AB"/>
    <w:rsid w:val="00FD6779"/>
    <w:rsid w:val="00FD71C8"/>
    <w:rsid w:val="00FE13CC"/>
    <w:rsid w:val="00FE1B56"/>
    <w:rsid w:val="00FE2341"/>
    <w:rsid w:val="00FE39B1"/>
    <w:rsid w:val="00FE3D36"/>
    <w:rsid w:val="00FE3D44"/>
    <w:rsid w:val="00FE53EF"/>
    <w:rsid w:val="00FE6C94"/>
    <w:rsid w:val="00FE7787"/>
    <w:rsid w:val="00FE78BC"/>
    <w:rsid w:val="00FE7E75"/>
    <w:rsid w:val="00FF09E6"/>
    <w:rsid w:val="00FF1BAB"/>
    <w:rsid w:val="00FF5106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6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A55D9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076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0C9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4228A"/>
    <w:pPr>
      <w:ind w:left="720"/>
      <w:contextualSpacing/>
    </w:pPr>
  </w:style>
  <w:style w:type="table" w:styleId="aa">
    <w:name w:val="Table Grid"/>
    <w:basedOn w:val="a1"/>
    <w:uiPriority w:val="59"/>
    <w:rsid w:val="0003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веб) Знак,Обычный (Web)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nhideWhenUsed/>
    <w:rsid w:val="003A3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A55D9"/>
    <w:rPr>
      <w:rFonts w:ascii="Times New Roman" w:eastAsia="Times New Roman" w:hAnsi="Times New Roman"/>
      <w:iCs/>
      <w:sz w:val="28"/>
      <w:szCs w:val="24"/>
    </w:rPr>
  </w:style>
  <w:style w:type="paragraph" w:customStyle="1" w:styleId="ac">
    <w:name w:val="Знак Знак"/>
    <w:basedOn w:val="a"/>
    <w:rsid w:val="009A55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9A55D9"/>
    <w:pPr>
      <w:spacing w:after="0" w:line="240" w:lineRule="auto"/>
      <w:ind w:left="851" w:firstLine="84"/>
      <w:jc w:val="both"/>
    </w:pPr>
    <w:rPr>
      <w:rFonts w:ascii="Times New Roman" w:eastAsia="Times New Roman" w:hAnsi="Times New Roman"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5D9"/>
    <w:rPr>
      <w:rFonts w:ascii="Times New Roman" w:eastAsia="Times New Roman" w:hAnsi="Times New Roman"/>
      <w:iCs/>
      <w:sz w:val="24"/>
    </w:rPr>
  </w:style>
  <w:style w:type="paragraph" w:styleId="ad">
    <w:name w:val="Body Text"/>
    <w:basedOn w:val="a"/>
    <w:link w:val="ae"/>
    <w:rsid w:val="009A55D9"/>
    <w:pPr>
      <w:spacing w:after="12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e">
    <w:name w:val="Основной текст Знак"/>
    <w:basedOn w:val="a0"/>
    <w:link w:val="ad"/>
    <w:rsid w:val="009A55D9"/>
    <w:rPr>
      <w:rFonts w:ascii="Times New Roman" w:eastAsia="Batang" w:hAnsi="Times New Roman"/>
      <w:sz w:val="24"/>
      <w:szCs w:val="24"/>
      <w:lang w:eastAsia="ko-KR"/>
    </w:rPr>
  </w:style>
  <w:style w:type="character" w:customStyle="1" w:styleId="af">
    <w:name w:val="Основной текст_"/>
    <w:basedOn w:val="a0"/>
    <w:link w:val="6"/>
    <w:rsid w:val="002E379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"/>
    <w:rsid w:val="002E3791"/>
    <w:pPr>
      <w:widowControl w:val="0"/>
      <w:shd w:val="clear" w:color="auto" w:fill="FFFFFF"/>
      <w:spacing w:after="60" w:line="0" w:lineRule="atLeast"/>
      <w:ind w:hanging="178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E29D3"/>
    <w:rPr>
      <w:b/>
      <w:bCs/>
    </w:rPr>
  </w:style>
  <w:style w:type="character" w:customStyle="1" w:styleId="21">
    <w:name w:val="Обычный (веб) Знак2"/>
    <w:aliases w:val="Обычный (веб) Знак Знак1,Обычный (Web)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"/>
    <w:link w:val="ab"/>
    <w:locked/>
    <w:rsid w:val="00DE29D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6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6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A55D9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076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A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0C9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4228A"/>
    <w:pPr>
      <w:ind w:left="720"/>
      <w:contextualSpacing/>
    </w:pPr>
  </w:style>
  <w:style w:type="table" w:styleId="aa">
    <w:name w:val="Table Grid"/>
    <w:basedOn w:val="a1"/>
    <w:uiPriority w:val="59"/>
    <w:rsid w:val="0003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веб) Знак,Обычный (Web)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nhideWhenUsed/>
    <w:rsid w:val="003A3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A55D9"/>
    <w:rPr>
      <w:rFonts w:ascii="Times New Roman" w:eastAsia="Times New Roman" w:hAnsi="Times New Roman"/>
      <w:iCs/>
      <w:sz w:val="28"/>
      <w:szCs w:val="24"/>
    </w:rPr>
  </w:style>
  <w:style w:type="paragraph" w:customStyle="1" w:styleId="ac">
    <w:name w:val="Знак Знак"/>
    <w:basedOn w:val="a"/>
    <w:rsid w:val="009A55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9A55D9"/>
    <w:pPr>
      <w:spacing w:after="0" w:line="240" w:lineRule="auto"/>
      <w:ind w:left="851" w:firstLine="84"/>
      <w:jc w:val="both"/>
    </w:pPr>
    <w:rPr>
      <w:rFonts w:ascii="Times New Roman" w:eastAsia="Times New Roman" w:hAnsi="Times New Roman"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5D9"/>
    <w:rPr>
      <w:rFonts w:ascii="Times New Roman" w:eastAsia="Times New Roman" w:hAnsi="Times New Roman"/>
      <w:iCs/>
      <w:sz w:val="24"/>
    </w:rPr>
  </w:style>
  <w:style w:type="paragraph" w:styleId="ad">
    <w:name w:val="Body Text"/>
    <w:basedOn w:val="a"/>
    <w:link w:val="ae"/>
    <w:rsid w:val="009A55D9"/>
    <w:pPr>
      <w:spacing w:after="12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e">
    <w:name w:val="Основной текст Знак"/>
    <w:basedOn w:val="a0"/>
    <w:link w:val="ad"/>
    <w:rsid w:val="009A55D9"/>
    <w:rPr>
      <w:rFonts w:ascii="Times New Roman" w:eastAsia="Batang" w:hAnsi="Times New Roman"/>
      <w:sz w:val="24"/>
      <w:szCs w:val="24"/>
      <w:lang w:eastAsia="ko-KR"/>
    </w:rPr>
  </w:style>
  <w:style w:type="character" w:customStyle="1" w:styleId="af">
    <w:name w:val="Основной текст_"/>
    <w:basedOn w:val="a0"/>
    <w:link w:val="6"/>
    <w:rsid w:val="002E379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"/>
    <w:rsid w:val="002E3791"/>
    <w:pPr>
      <w:widowControl w:val="0"/>
      <w:shd w:val="clear" w:color="auto" w:fill="FFFFFF"/>
      <w:spacing w:after="60" w:line="0" w:lineRule="atLeast"/>
      <w:ind w:hanging="178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E29D3"/>
    <w:rPr>
      <w:b/>
      <w:bCs/>
    </w:rPr>
  </w:style>
  <w:style w:type="character" w:customStyle="1" w:styleId="21">
    <w:name w:val="Обычный (веб) Знак2"/>
    <w:aliases w:val="Обычный (веб) Знак Знак1,Обычный (Web)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"/>
    <w:link w:val="ab"/>
    <w:locked/>
    <w:rsid w:val="00DE29D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6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деятельности респондентов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31%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9074074074074E-2"/>
                  <c:y val="-4.07453349153273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19%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9%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4722222222222222E-2"/>
                  <c:y val="-4.18509872195623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3%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Легкая промышленность</c:v>
                </c:pt>
                <c:pt idx="1">
                  <c:v>Ремонт автотранспортных средств</c:v>
                </c:pt>
                <c:pt idx="2">
                  <c:v>Медицинские услуги</c:v>
                </c:pt>
                <c:pt idx="3">
                  <c:v>Обработка из дерева</c:v>
                </c:pt>
                <c:pt idx="4">
                  <c:v>Торговля лекарственными препаратами</c:v>
                </c:pt>
                <c:pt idx="5">
                  <c:v>Социальные услуги</c:v>
                </c:pt>
                <c:pt idx="6">
                  <c:v>Перевозка пассажиров</c:v>
                </c:pt>
                <c:pt idx="7">
                  <c:v>Дополнительное образование детей</c:v>
                </c:pt>
                <c:pt idx="8">
                  <c:v>Прочие виды деятельности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0.31</c:v>
                </c:pt>
                <c:pt idx="1">
                  <c:v>0.19</c:v>
                </c:pt>
                <c:pt idx="2">
                  <c:v>0.09</c:v>
                </c:pt>
                <c:pt idx="3">
                  <c:v>0.06</c:v>
                </c:pt>
                <c:pt idx="4">
                  <c:v>0.06</c:v>
                </c:pt>
                <c:pt idx="5">
                  <c:v>0.06</c:v>
                </c:pt>
                <c:pt idx="6">
                  <c:v>0.06</c:v>
                </c:pt>
                <c:pt idx="7">
                  <c:v>0.03</c:v>
                </c:pt>
                <c:pt idx="8">
                  <c:v>0.14000000000000001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71030016"/>
        <c:axId val="171031552"/>
      </c:lineChart>
      <c:catAx>
        <c:axId val="17103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031552"/>
        <c:crosses val="autoZero"/>
        <c:auto val="1"/>
        <c:lblAlgn val="ctr"/>
        <c:lblOffset val="100"/>
        <c:noMultiLvlLbl val="0"/>
      </c:catAx>
      <c:valAx>
        <c:axId val="17103155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03001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667117676181949"/>
          <c:y val="4.3650793650793648E-2"/>
          <c:w val="0.48058980515032518"/>
          <c:h val="0.773518310211223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Предпочитаю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Специальные блоги, порталы и прочие</c:v>
                </c:pt>
                <c:pt idx="1">
                  <c:v>Радио</c:v>
                </c:pt>
                <c:pt idx="2">
                  <c:v>Печатные средства массовой информации</c:v>
                </c:pt>
                <c:pt idx="3">
                  <c:v>Телевидение</c:v>
                </c:pt>
                <c:pt idx="4">
                  <c:v>Информация на официальных сайтах МО</c:v>
                </c:pt>
                <c:pt idx="5">
                  <c:v>Официальная информация на сайте ФАС</c:v>
                </c:pt>
                <c:pt idx="6">
                  <c:v>Официальный портал об инвестиционной деятельности</c:v>
                </c:pt>
                <c:pt idx="7">
                  <c:v>Официальный сайт уполномоченного органа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0.87</c:v>
                </c:pt>
                <c:pt idx="1">
                  <c:v>0.97</c:v>
                </c:pt>
                <c:pt idx="2">
                  <c:v>0.94</c:v>
                </c:pt>
                <c:pt idx="3">
                  <c:v>0.97</c:v>
                </c:pt>
                <c:pt idx="4">
                  <c:v>0.75</c:v>
                </c:pt>
                <c:pt idx="5">
                  <c:v>0.75</c:v>
                </c:pt>
                <c:pt idx="6">
                  <c:v>0.72</c:v>
                </c:pt>
                <c:pt idx="7">
                  <c:v>0.78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Доверяю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 w="9525" cap="flat" cmpd="sng" algn="ctr">
              <a:solidFill>
                <a:schemeClr val="accent3">
                  <a:lumMod val="75000"/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2.8437675910666205E-2"/>
                  <c:y val="-3.1246094238220224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48943010030722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Специальные блоги, порталы и прочие</c:v>
                </c:pt>
                <c:pt idx="1">
                  <c:v>Радио</c:v>
                </c:pt>
                <c:pt idx="2">
                  <c:v>Печатные средства массовой информации</c:v>
                </c:pt>
                <c:pt idx="3">
                  <c:v>Телевидение</c:v>
                </c:pt>
                <c:pt idx="4">
                  <c:v>Информация на официальных сайтах МО</c:v>
                </c:pt>
                <c:pt idx="5">
                  <c:v>Официальная информация на сайте ФАС</c:v>
                </c:pt>
                <c:pt idx="6">
                  <c:v>Официальный портал об инвестиционной деятельности</c:v>
                </c:pt>
                <c:pt idx="7">
                  <c:v>Официальный сайт уполномоченного органа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0.13</c:v>
                </c:pt>
                <c:pt idx="1">
                  <c:v>0.03</c:v>
                </c:pt>
                <c:pt idx="2">
                  <c:v>0.06</c:v>
                </c:pt>
                <c:pt idx="3">
                  <c:v>0.03</c:v>
                </c:pt>
                <c:pt idx="4">
                  <c:v>0.25</c:v>
                </c:pt>
                <c:pt idx="5">
                  <c:v>0.25</c:v>
                </c:pt>
                <c:pt idx="6">
                  <c:v>0.28000000000000003</c:v>
                </c:pt>
                <c:pt idx="7">
                  <c:v>0.22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2289920"/>
        <c:axId val="182291456"/>
      </c:barChart>
      <c:catAx>
        <c:axId val="18228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291456"/>
        <c:crosses val="autoZero"/>
        <c:auto val="1"/>
        <c:lblAlgn val="ctr"/>
        <c:lblOffset val="100"/>
        <c:noMultiLvlLbl val="0"/>
      </c:catAx>
      <c:valAx>
        <c:axId val="1822914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8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46242378617399"/>
          <c:y val="0.90234306649168849"/>
          <c:w val="0.27707515242765196"/>
          <c:h val="9.765693350831146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667117676181949"/>
          <c:y val="4.3650793650793648E-2"/>
          <c:w val="0.48058980515032518"/>
          <c:h val="0.773518310211223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</c:v>
                </c:pt>
              </c:strCache>
            </c:strRef>
          </c:tx>
          <c:spPr>
            <a:solidFill>
              <a:schemeClr val="accent6">
                <a:lumMod val="75000"/>
                <a:alpha val="84706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Специальные блоги, порталы и прочие</c:v>
                </c:pt>
                <c:pt idx="1">
                  <c:v>Радио</c:v>
                </c:pt>
                <c:pt idx="2">
                  <c:v>Печатные средства массовой информации</c:v>
                </c:pt>
                <c:pt idx="3">
                  <c:v>Телевидение</c:v>
                </c:pt>
                <c:pt idx="4">
                  <c:v>Информация на официальных сайтах МО</c:v>
                </c:pt>
                <c:pt idx="5">
                  <c:v>Официальная информация на сайте ФАС</c:v>
                </c:pt>
                <c:pt idx="6">
                  <c:v>Официальный портал об инвестиционной деятельности</c:v>
                </c:pt>
                <c:pt idx="7">
                  <c:v>Официальный сайт уполномоченного органа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0.54</c:v>
                </c:pt>
                <c:pt idx="1">
                  <c:v>0.77</c:v>
                </c:pt>
                <c:pt idx="2">
                  <c:v>0.59</c:v>
                </c:pt>
                <c:pt idx="3">
                  <c:v>0.44</c:v>
                </c:pt>
                <c:pt idx="4">
                  <c:v>0.48</c:v>
                </c:pt>
                <c:pt idx="5">
                  <c:v>0.64</c:v>
                </c:pt>
                <c:pt idx="6">
                  <c:v>0.54</c:v>
                </c:pt>
                <c:pt idx="7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Предпочитаю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Специальные блоги, порталы и прочие</c:v>
                </c:pt>
                <c:pt idx="1">
                  <c:v>Радио</c:v>
                </c:pt>
                <c:pt idx="2">
                  <c:v>Печатные средства массовой информации</c:v>
                </c:pt>
                <c:pt idx="3">
                  <c:v>Телевидение</c:v>
                </c:pt>
                <c:pt idx="4">
                  <c:v>Информация на официальных сайтах МО</c:v>
                </c:pt>
                <c:pt idx="5">
                  <c:v>Официальная информация на сайте ФАС</c:v>
                </c:pt>
                <c:pt idx="6">
                  <c:v>Официальный портал об инвестиционной деятельности</c:v>
                </c:pt>
                <c:pt idx="7">
                  <c:v>Официальный сайт уполномоченного органа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0.44</c:v>
                </c:pt>
                <c:pt idx="1">
                  <c:v>0.23</c:v>
                </c:pt>
                <c:pt idx="2">
                  <c:v>0.38</c:v>
                </c:pt>
                <c:pt idx="3">
                  <c:v>0.49</c:v>
                </c:pt>
                <c:pt idx="4">
                  <c:v>0.44</c:v>
                </c:pt>
                <c:pt idx="5">
                  <c:v>0.23</c:v>
                </c:pt>
                <c:pt idx="6">
                  <c:v>0.36</c:v>
                </c:pt>
                <c:pt idx="7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Доверяю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2"/>
              <c:layout>
                <c:manualLayout>
                  <c:x val="-3.048943010030722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Специальные блоги, порталы и прочие</c:v>
                </c:pt>
                <c:pt idx="1">
                  <c:v>Радио</c:v>
                </c:pt>
                <c:pt idx="2">
                  <c:v>Печатные средства массовой информации</c:v>
                </c:pt>
                <c:pt idx="3">
                  <c:v>Телевидение</c:v>
                </c:pt>
                <c:pt idx="4">
                  <c:v>Информация на официальных сайтах МО</c:v>
                </c:pt>
                <c:pt idx="5">
                  <c:v>Официальная информация на сайте ФАС</c:v>
                </c:pt>
                <c:pt idx="6">
                  <c:v>Официальный портал об инвестиционной деятельности</c:v>
                </c:pt>
                <c:pt idx="7">
                  <c:v>Официальный сайт уполномоченного органа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0.02</c:v>
                </c:pt>
                <c:pt idx="1">
                  <c:v>0</c:v>
                </c:pt>
                <c:pt idx="2">
                  <c:v>0.03</c:v>
                </c:pt>
                <c:pt idx="3">
                  <c:v>7.0000000000000007E-2</c:v>
                </c:pt>
                <c:pt idx="4">
                  <c:v>0.08</c:v>
                </c:pt>
                <c:pt idx="5">
                  <c:v>0.13</c:v>
                </c:pt>
                <c:pt idx="6">
                  <c:v>0.1</c:v>
                </c:pt>
                <c:pt idx="7">
                  <c:v>0.08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4004096"/>
        <c:axId val="174005632"/>
      </c:barChart>
      <c:catAx>
        <c:axId val="174004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4005632"/>
        <c:crosses val="autoZero"/>
        <c:auto val="1"/>
        <c:lblAlgn val="ctr"/>
        <c:lblOffset val="100"/>
        <c:noMultiLvlLbl val="0"/>
      </c:catAx>
      <c:valAx>
        <c:axId val="1740056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0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Информация о мониторингах и ежегодном докладе</c:v>
                </c:pt>
                <c:pt idx="1">
                  <c:v>Информация о проведенных обучающих мероприятиях</c:v>
                </c:pt>
                <c:pt idx="2">
                  <c:v>Обеспечение доступности "дорожной карты"</c:v>
                </c:pt>
                <c:pt idx="3">
                  <c:v>Возможность прохождения электронных анкет</c:v>
                </c:pt>
                <c:pt idx="4">
                  <c:v>Доступность информации о перечне товарных рынков</c:v>
                </c:pt>
                <c:pt idx="5">
                  <c:v>Доступность информации о нормативной базе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0.19</c:v>
                </c:pt>
                <c:pt idx="1">
                  <c:v>0.19</c:v>
                </c:pt>
                <c:pt idx="2">
                  <c:v>0.19</c:v>
                </c:pt>
                <c:pt idx="3">
                  <c:v>0.16</c:v>
                </c:pt>
                <c:pt idx="4">
                  <c:v>0.16</c:v>
                </c:pt>
                <c:pt idx="5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удовлетворительно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Информация о мониторингах и ежегодном докладе</c:v>
                </c:pt>
                <c:pt idx="1">
                  <c:v>Информация о проведенных обучающих мероприятиях</c:v>
                </c:pt>
                <c:pt idx="2">
                  <c:v>Обеспечение доступности "дорожной карты"</c:v>
                </c:pt>
                <c:pt idx="3">
                  <c:v>Возможность прохождения электронных анкет</c:v>
                </c:pt>
                <c:pt idx="4">
                  <c:v>Доступность информации о перечне товарных рынков</c:v>
                </c:pt>
                <c:pt idx="5">
                  <c:v>Доступность информации о нормативной базе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0.06</c:v>
                </c:pt>
                <c:pt idx="1">
                  <c:v>0.09</c:v>
                </c:pt>
                <c:pt idx="2">
                  <c:v>0.03</c:v>
                </c:pt>
                <c:pt idx="3">
                  <c:v>0.03</c:v>
                </c:pt>
                <c:pt idx="4">
                  <c:v>0.06</c:v>
                </c:pt>
                <c:pt idx="5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удовлетворительно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Информация о мониторингах и ежегодном докладе</c:v>
                </c:pt>
                <c:pt idx="1">
                  <c:v>Информация о проведенных обучающих мероприятиях</c:v>
                </c:pt>
                <c:pt idx="2">
                  <c:v>Обеспечение доступности "дорожной карты"</c:v>
                </c:pt>
                <c:pt idx="3">
                  <c:v>Возможность прохождения электронных анкет</c:v>
                </c:pt>
                <c:pt idx="4">
                  <c:v>Доступность информации о перечне товарных рынков</c:v>
                </c:pt>
                <c:pt idx="5">
                  <c:v>Доступность информации о нормативной базе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0.03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rgbClr val="4DADC7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Информация о мониторингах и ежегодном докладе</c:v>
                </c:pt>
                <c:pt idx="1">
                  <c:v>Информация о проведенных обучающих мероприятиях</c:v>
                </c:pt>
                <c:pt idx="2">
                  <c:v>Обеспечение доступности "дорожной карты"</c:v>
                </c:pt>
                <c:pt idx="3">
                  <c:v>Возможность прохождения электронных анкет</c:v>
                </c:pt>
                <c:pt idx="4">
                  <c:v>Доступность информации о перечне товарных рынков</c:v>
                </c:pt>
                <c:pt idx="5">
                  <c:v>Доступность информации о нормативной базе</c:v>
                </c:pt>
              </c:strCache>
            </c:strRef>
          </c:cat>
          <c:val>
            <c:numRef>
              <c:f>Лист1!$E$2:$E$7</c:f>
              <c:numCache>
                <c:formatCode>0.0%</c:formatCode>
                <c:ptCount val="6"/>
                <c:pt idx="0">
                  <c:v>0.41</c:v>
                </c:pt>
                <c:pt idx="1">
                  <c:v>0.41</c:v>
                </c:pt>
                <c:pt idx="2">
                  <c:v>0.5</c:v>
                </c:pt>
                <c:pt idx="3">
                  <c:v>0.53</c:v>
                </c:pt>
                <c:pt idx="4">
                  <c:v>0.5</c:v>
                </c:pt>
                <c:pt idx="5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rgbClr val="91B44A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Информация о мониторингах и ежегодном докладе</c:v>
                </c:pt>
                <c:pt idx="1">
                  <c:v>Информация о проведенных обучающих мероприятиях</c:v>
                </c:pt>
                <c:pt idx="2">
                  <c:v>Обеспечение доступности "дорожной карты"</c:v>
                </c:pt>
                <c:pt idx="3">
                  <c:v>Возможность прохождения электронных анкет</c:v>
                </c:pt>
                <c:pt idx="4">
                  <c:v>Доступность информации о перечне товарных рынков</c:v>
                </c:pt>
                <c:pt idx="5">
                  <c:v>Доступность информации о нормативной базе</c:v>
                </c:pt>
              </c:strCache>
            </c:strRef>
          </c:cat>
          <c:val>
            <c:numRef>
              <c:f>Лист1!$F$2:$F$7</c:f>
              <c:numCache>
                <c:formatCode>0.0%</c:formatCode>
                <c:ptCount val="6"/>
                <c:pt idx="0">
                  <c:v>0.31</c:v>
                </c:pt>
                <c:pt idx="1">
                  <c:v>0.31</c:v>
                </c:pt>
                <c:pt idx="2">
                  <c:v>0.28000000000000003</c:v>
                </c:pt>
                <c:pt idx="3">
                  <c:v>0.28000000000000003</c:v>
                </c:pt>
                <c:pt idx="4">
                  <c:v>0.28000000000000003</c:v>
                </c:pt>
                <c:pt idx="5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84503680"/>
        <c:axId val="184509568"/>
        <c:axId val="0"/>
      </c:bar3DChart>
      <c:catAx>
        <c:axId val="1845036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>
                    <a:lumMod val="85000"/>
                    <a:lumOff val="15000"/>
                  </a:schemeClr>
                </a:solidFill>
              </a:defRPr>
            </a:pPr>
            <a:endParaRPr lang="ru-RU"/>
          </a:p>
        </c:txPr>
        <c:crossAx val="184509568"/>
        <c:crosses val="autoZero"/>
        <c:auto val="1"/>
        <c:lblAlgn val="ctr"/>
        <c:lblOffset val="100"/>
        <c:noMultiLvlLbl val="0"/>
      </c:catAx>
      <c:valAx>
        <c:axId val="18450956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845036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497857754927164"/>
          <c:y val="5.7933305857428979E-2"/>
          <c:w val="0.7771400522235492"/>
          <c:h val="0.24218888961193899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32319288779711E-3"/>
          <c:y val="1.449818772653417E-3"/>
          <c:w val="0.69218435057496275"/>
          <c:h val="0.995394601410117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раз в год и реже</c:v>
                </c:pt>
                <c:pt idx="1">
                  <c:v>Не реже, чем раз в три месяца</c:v>
                </c:pt>
                <c:pt idx="2">
                  <c:v>Не реже, чем раз в месяц</c:v>
                </c:pt>
                <c:pt idx="3">
                  <c:v>Не реже, чем раз в неделю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0.08</c:v>
                </c:pt>
                <c:pt idx="2">
                  <c:v>0.12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609473691100332"/>
          <c:y val="5.5248618784530384E-2"/>
          <c:w val="0.37133151373534667"/>
          <c:h val="0.83401632806948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сталкивался 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0.95</c:v>
                </c:pt>
                <c:pt idx="1">
                  <c:v>0.77</c:v>
                </c:pt>
                <c:pt idx="2">
                  <c:v>0.97</c:v>
                </c:pt>
                <c:pt idx="3">
                  <c:v>0.84</c:v>
                </c:pt>
                <c:pt idx="4">
                  <c:v>0.95</c:v>
                </c:pt>
                <c:pt idx="5">
                  <c:v>0.89</c:v>
                </c:pt>
                <c:pt idx="6">
                  <c:v>0.92</c:v>
                </c:pt>
                <c:pt idx="7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0.03</c:v>
                </c:pt>
                <c:pt idx="1">
                  <c:v>0.05</c:v>
                </c:pt>
                <c:pt idx="2">
                  <c:v>0.03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0.04</c:v>
                </c:pt>
                <c:pt idx="6">
                  <c:v>0.08</c:v>
                </c:pt>
                <c:pt idx="7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0.02</c:v>
                </c:pt>
                <c:pt idx="1">
                  <c:v>0.18</c:v>
                </c:pt>
                <c:pt idx="2">
                  <c:v>0</c:v>
                </c:pt>
                <c:pt idx="3">
                  <c:v>0.09</c:v>
                </c:pt>
                <c:pt idx="4">
                  <c:v>0</c:v>
                </c:pt>
                <c:pt idx="5">
                  <c:v>7.0000000000000007E-2</c:v>
                </c:pt>
                <c:pt idx="6">
                  <c:v>0</c:v>
                </c:pt>
                <c:pt idx="7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086400"/>
        <c:axId val="175460352"/>
      </c:barChart>
      <c:catAx>
        <c:axId val="1740864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175460352"/>
        <c:crosses val="autoZero"/>
        <c:auto val="1"/>
        <c:lblAlgn val="ctr"/>
        <c:lblOffset val="100"/>
        <c:noMultiLvlLbl val="0"/>
      </c:catAx>
      <c:valAx>
        <c:axId val="17546035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17408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53215386730027"/>
          <c:y val="0.37511782021722423"/>
          <c:w val="0.18746784613269973"/>
          <c:h val="0.26670963695909694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609473691100332"/>
          <c:y val="5.5248618784530384E-2"/>
          <c:w val="0.37133151373534667"/>
          <c:h val="0.83401632806948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сталкивался 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0.84</c:v>
                </c:pt>
                <c:pt idx="1">
                  <c:v>0.61</c:v>
                </c:pt>
                <c:pt idx="2">
                  <c:v>0.8</c:v>
                </c:pt>
                <c:pt idx="3">
                  <c:v>0.64</c:v>
                </c:pt>
                <c:pt idx="4">
                  <c:v>0.72</c:v>
                </c:pt>
                <c:pt idx="5">
                  <c:v>0.61</c:v>
                </c:pt>
                <c:pt idx="6">
                  <c:v>0.67</c:v>
                </c:pt>
                <c:pt idx="7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доверяю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0.16</c:v>
                </c:pt>
                <c:pt idx="1">
                  <c:v>0.2</c:v>
                </c:pt>
                <c:pt idx="2">
                  <c:v>0.16</c:v>
                </c:pt>
                <c:pt idx="3">
                  <c:v>0.18</c:v>
                </c:pt>
                <c:pt idx="4">
                  <c:v>0.23</c:v>
                </c:pt>
                <c:pt idx="5">
                  <c:v>0.3</c:v>
                </c:pt>
                <c:pt idx="6">
                  <c:v>0.33</c:v>
                </c:pt>
                <c:pt idx="7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Доверяю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</c:v>
                </c:pt>
                <c:pt idx="1">
                  <c:v>0.19</c:v>
                </c:pt>
                <c:pt idx="2">
                  <c:v>0.04</c:v>
                </c:pt>
                <c:pt idx="3">
                  <c:v>0.18</c:v>
                </c:pt>
                <c:pt idx="4">
                  <c:v>0.05</c:v>
                </c:pt>
                <c:pt idx="5">
                  <c:v>0.09</c:v>
                </c:pt>
                <c:pt idx="6">
                  <c:v>0</c:v>
                </c:pt>
                <c:pt idx="7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236288"/>
        <c:axId val="182237824"/>
      </c:barChart>
      <c:catAx>
        <c:axId val="1822362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182237824"/>
        <c:crosses val="autoZero"/>
        <c:auto val="1"/>
        <c:lblAlgn val="ctr"/>
        <c:lblOffset val="100"/>
        <c:noMultiLvlLbl val="0"/>
      </c:catAx>
      <c:valAx>
        <c:axId val="18223782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18223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53215386730027"/>
          <c:y val="0.37511782021722423"/>
          <c:w val="0.18746784613269973"/>
          <c:h val="0.26670963695909694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609473691100332"/>
          <c:y val="5.5248618784530384E-2"/>
          <c:w val="0.37133151373534667"/>
          <c:h val="0.83401632806948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сталкивался 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0.93</c:v>
                </c:pt>
                <c:pt idx="1">
                  <c:v>0.75</c:v>
                </c:pt>
                <c:pt idx="2">
                  <c:v>0.95</c:v>
                </c:pt>
                <c:pt idx="3">
                  <c:v>0.79</c:v>
                </c:pt>
                <c:pt idx="4">
                  <c:v>0.95</c:v>
                </c:pt>
                <c:pt idx="5">
                  <c:v>0.87</c:v>
                </c:pt>
                <c:pt idx="6">
                  <c:v>0.92</c:v>
                </c:pt>
                <c:pt idx="7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0.05</c:v>
                </c:pt>
                <c:pt idx="1">
                  <c:v>0.08</c:v>
                </c:pt>
                <c:pt idx="2">
                  <c:v>0.05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0.05</c:v>
                </c:pt>
                <c:pt idx="6">
                  <c:v>0.08</c:v>
                </c:pt>
                <c:pt idx="7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Брокеры</c:v>
                </c:pt>
                <c:pt idx="1">
                  <c:v>Негосударственные пенсионные фонды</c:v>
                </c:pt>
                <c:pt idx="2">
                  <c:v>С/х кредитные потребительские кооперативы</c:v>
                </c:pt>
                <c:pt idx="3">
                  <c:v>Субъекты страхового дела</c:v>
                </c:pt>
                <c:pt idx="4">
                  <c:v>Ломбарды</c:v>
                </c:pt>
                <c:pt idx="5">
                  <c:v>Кредитные потребительские кооперативы</c:v>
                </c:pt>
                <c:pt idx="6">
                  <c:v>Микрофинансовые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0.02</c:v>
                </c:pt>
                <c:pt idx="1">
                  <c:v>0.17</c:v>
                </c:pt>
                <c:pt idx="2">
                  <c:v>0</c:v>
                </c:pt>
                <c:pt idx="3">
                  <c:v>0.14000000000000001</c:v>
                </c:pt>
                <c:pt idx="4">
                  <c:v>0</c:v>
                </c:pt>
                <c:pt idx="5">
                  <c:v>0.08</c:v>
                </c:pt>
                <c:pt idx="6">
                  <c:v>0</c:v>
                </c:pt>
                <c:pt idx="7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423488"/>
        <c:axId val="175425024"/>
      </c:barChart>
      <c:catAx>
        <c:axId val="1754234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175425024"/>
        <c:crosses val="autoZero"/>
        <c:auto val="1"/>
        <c:lblAlgn val="ctr"/>
        <c:lblOffset val="100"/>
        <c:noMultiLvlLbl val="0"/>
      </c:catAx>
      <c:valAx>
        <c:axId val="17542502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17542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53215386730027"/>
          <c:y val="0.37511782021722423"/>
          <c:w val="0.18746784613269973"/>
          <c:h val="0.26670963695909694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Касса в отделении банка</c:v>
                </c:pt>
                <c:pt idx="1">
                  <c:v>Банкомат/терминал в банке</c:v>
                </c:pt>
                <c:pt idx="2">
                  <c:v>Банкомат/терминал вне банка</c:v>
                </c:pt>
                <c:pt idx="3">
                  <c:v>POS-терминал</c:v>
                </c:pt>
                <c:pt idx="4">
                  <c:v>Платежный терминал для приема наличных</c:v>
                </c:pt>
                <c:pt idx="5">
                  <c:v>Отделение почтовой связи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0.41</c:v>
                </c:pt>
                <c:pt idx="1">
                  <c:v>0.62</c:v>
                </c:pt>
                <c:pt idx="2">
                  <c:v>0.61</c:v>
                </c:pt>
                <c:pt idx="3">
                  <c:v>0.54</c:v>
                </c:pt>
                <c:pt idx="4">
                  <c:v>0.46</c:v>
                </c:pt>
                <c:pt idx="5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Касса в отделении банка</c:v>
                </c:pt>
                <c:pt idx="1">
                  <c:v>Банкомат/терминал в банке</c:v>
                </c:pt>
                <c:pt idx="2">
                  <c:v>Банкомат/терминал вне банка</c:v>
                </c:pt>
                <c:pt idx="3">
                  <c:v>POS-терминал</c:v>
                </c:pt>
                <c:pt idx="4">
                  <c:v>Платежный терминал для приема наличных</c:v>
                </c:pt>
                <c:pt idx="5">
                  <c:v>Отделение почтовой связи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0.26</c:v>
                </c:pt>
                <c:pt idx="1">
                  <c:v>0.13</c:v>
                </c:pt>
                <c:pt idx="2">
                  <c:v>0.18</c:v>
                </c:pt>
                <c:pt idx="3">
                  <c:v>0.18</c:v>
                </c:pt>
                <c:pt idx="4">
                  <c:v>0.18</c:v>
                </c:pt>
                <c:pt idx="5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Касса в отделении банка</c:v>
                </c:pt>
                <c:pt idx="1">
                  <c:v>Банкомат/терминал в банке</c:v>
                </c:pt>
                <c:pt idx="2">
                  <c:v>Банкомат/терминал вне банка</c:v>
                </c:pt>
                <c:pt idx="3">
                  <c:v>POS-терминал</c:v>
                </c:pt>
                <c:pt idx="4">
                  <c:v>Платежный терминал для приема наличных</c:v>
                </c:pt>
                <c:pt idx="5">
                  <c:v>Отделение почтовой связи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0.16</c:v>
                </c:pt>
                <c:pt idx="1">
                  <c:v>0.2</c:v>
                </c:pt>
                <c:pt idx="2">
                  <c:v>0.15</c:v>
                </c:pt>
                <c:pt idx="3">
                  <c:v>0.15</c:v>
                </c:pt>
                <c:pt idx="4">
                  <c:v>0.18</c:v>
                </c:pt>
                <c:pt idx="5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Касса в отделении банка</c:v>
                </c:pt>
                <c:pt idx="1">
                  <c:v>Банкомат/терминал в банке</c:v>
                </c:pt>
                <c:pt idx="2">
                  <c:v>Банкомат/терминал вне банка</c:v>
                </c:pt>
                <c:pt idx="3">
                  <c:v>POS-терминал</c:v>
                </c:pt>
                <c:pt idx="4">
                  <c:v>Платежный терминал для приема наличных</c:v>
                </c:pt>
                <c:pt idx="5">
                  <c:v>Отделение почтовой связи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0.12</c:v>
                </c:pt>
                <c:pt idx="1">
                  <c:v>0.02</c:v>
                </c:pt>
                <c:pt idx="2">
                  <c:v>0.03</c:v>
                </c:pt>
                <c:pt idx="3">
                  <c:v>0.1</c:v>
                </c:pt>
                <c:pt idx="4">
                  <c:v>0.13</c:v>
                </c:pt>
                <c:pt idx="5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"1"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Касса в отделении банка</c:v>
                </c:pt>
                <c:pt idx="1">
                  <c:v>Банкомат/терминал в банке</c:v>
                </c:pt>
                <c:pt idx="2">
                  <c:v>Банкомат/терминал вне банка</c:v>
                </c:pt>
                <c:pt idx="3">
                  <c:v>POS-терминал</c:v>
                </c:pt>
                <c:pt idx="4">
                  <c:v>Платежный терминал для приема наличных</c:v>
                </c:pt>
                <c:pt idx="5">
                  <c:v>Отделение почтовой связи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0.05</c:v>
                </c:pt>
                <c:pt idx="1">
                  <c:v>0.03</c:v>
                </c:pt>
                <c:pt idx="2">
                  <c:v>0.03</c:v>
                </c:pt>
                <c:pt idx="3">
                  <c:v>0.03</c:v>
                </c:pt>
                <c:pt idx="4">
                  <c:v>0.05</c:v>
                </c:pt>
                <c:pt idx="5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89024"/>
        <c:axId val="184690560"/>
      </c:barChart>
      <c:catAx>
        <c:axId val="18468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690560"/>
        <c:crosses val="autoZero"/>
        <c:auto val="1"/>
        <c:lblAlgn val="ctr"/>
        <c:lblOffset val="100"/>
        <c:noMultiLvlLbl val="0"/>
      </c:catAx>
      <c:valAx>
        <c:axId val="184690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468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17942548848063"/>
          <c:y val="0.11028840144981879"/>
          <c:w val="6.9616870807815687E-2"/>
          <c:h val="0.372997388321509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менее 1 года</c:v>
                </c:pt>
                <c:pt idx="1">
                  <c:v>1-5 лет</c:v>
                </c:pt>
                <c:pt idx="2">
                  <c:v>более 5 лет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7.0000000000000007E-2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менее 1 года</c:v>
                </c:pt>
                <c:pt idx="1">
                  <c:v>1-5 лет</c:v>
                </c:pt>
                <c:pt idx="2">
                  <c:v>более 5 лет 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0.51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менее 1 года</c:v>
                </c:pt>
                <c:pt idx="1">
                  <c:v>1-5 лет</c:v>
                </c:pt>
                <c:pt idx="2">
                  <c:v>более 5 лет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 formatCode="0%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71385216"/>
        <c:axId val="171386752"/>
        <c:axId val="0"/>
      </c:bar3DChart>
      <c:catAx>
        <c:axId val="171385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386752"/>
        <c:crosses val="autoZero"/>
        <c:auto val="1"/>
        <c:lblAlgn val="ctr"/>
        <c:lblOffset val="100"/>
        <c:noMultiLvlLbl val="0"/>
      </c:catAx>
      <c:valAx>
        <c:axId val="17138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3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902651021295088E-2"/>
          <c:y val="0"/>
          <c:w val="0.95219469795740985"/>
          <c:h val="0.773378259286932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 w="25400" cap="flat" cmpd="sng" algn="ctr">
              <a:solidFill>
                <a:schemeClr val="accent4"/>
              </a:solidFill>
              <a:prstDash val="solid"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"очень высокая" конкуренция</c:v>
                </c:pt>
                <c:pt idx="1">
                  <c:v>"высокая" конкуренция</c:v>
                </c:pt>
                <c:pt idx="2">
                  <c:v>"умеренная" конкуренция</c:v>
                </c:pt>
                <c:pt idx="3">
                  <c:v>"слабая"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0.06</c:v>
                </c:pt>
                <c:pt idx="1">
                  <c:v>0.25</c:v>
                </c:pt>
                <c:pt idx="2">
                  <c:v>0.41</c:v>
                </c:pt>
                <c:pt idx="3">
                  <c:v>0.22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71397888"/>
        <c:axId val="171400576"/>
        <c:axId val="0"/>
      </c:bar3DChart>
      <c:catAx>
        <c:axId val="17139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1400576"/>
        <c:crosses val="autoZero"/>
        <c:auto val="1"/>
        <c:lblAlgn val="ctr"/>
        <c:lblOffset val="100"/>
        <c:noMultiLvlLbl val="0"/>
      </c:catAx>
      <c:valAx>
        <c:axId val="1714005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71397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 до 3 конкурентов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layout>
                <c:manualLayout>
                  <c:x val="0.65046296296296302"/>
                  <c:y val="-0.347551631803600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Большое число конкурентов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4 до 8 конкурентов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layout>
                <c:manualLayout>
                  <c:x val="-2.3148148148148147E-3"/>
                  <c:y val="-0.339652448657187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4 до 8 конкурентов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Большое число конкурентов     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dLbl>
              <c:idx val="0"/>
              <c:layout>
                <c:manualLayout>
                  <c:x val="-0.63425944152814229"/>
                  <c:y val="-0.347551631803600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1 до 3 конкурентов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74094208"/>
        <c:axId val="174095744"/>
      </c:barChart>
      <c:catAx>
        <c:axId val="17409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95744"/>
        <c:crosses val="autoZero"/>
        <c:auto val="1"/>
        <c:lblAlgn val="ctr"/>
        <c:lblOffset val="100"/>
        <c:noMultiLvlLbl val="0"/>
      </c:catAx>
      <c:valAx>
        <c:axId val="174095744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9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респондентов по полу и возрасту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cat>
            <c:strRef>
              <c:f>Лист1!$A$2:$A$9</c:f>
              <c:strCache>
                <c:ptCount val="8"/>
                <c:pt idx="0">
                  <c:v>от 18 до 24 лет</c:v>
                </c:pt>
                <c:pt idx="1">
                  <c:v>от 25 до 34 лет</c:v>
                </c:pt>
                <c:pt idx="2">
                  <c:v>от 35 до 44 лет</c:v>
                </c:pt>
                <c:pt idx="3">
                  <c:v>от 45 до 54 лет</c:v>
                </c:pt>
                <c:pt idx="4">
                  <c:v>от 55 до 64 лет</c:v>
                </c:pt>
                <c:pt idx="5">
                  <c:v>65 лет и старше</c:v>
                </c:pt>
                <c:pt idx="6">
                  <c:v>мужчины</c:v>
                </c:pt>
                <c:pt idx="7">
                  <c:v>женщины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0.05</c:v>
                </c:pt>
                <c:pt idx="1">
                  <c:v>0.08</c:v>
                </c:pt>
                <c:pt idx="2">
                  <c:v>0.46</c:v>
                </c:pt>
                <c:pt idx="3">
                  <c:v>0.31</c:v>
                </c:pt>
                <c:pt idx="4">
                  <c:v>0.1</c:v>
                </c:pt>
                <c:pt idx="5">
                  <c:v>0</c:v>
                </c:pt>
                <c:pt idx="6">
                  <c:v>0.12</c:v>
                </c:pt>
                <c:pt idx="7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74"/>
        <c:splitType val="pos"/>
        <c:splitPos val="2"/>
        <c:secondPieSize val="75"/>
        <c:ser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79647856517935"/>
          <c:y val="1.1256173623458352E-2"/>
          <c:w val="0.42611074657334502"/>
          <c:h val="0.879712509054647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17"/>
          <c:dPt>
            <c:idx val="0"/>
            <c:bubble3D val="0"/>
            <c:explosion val="4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explosion val="1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8.5647965879265098E-2"/>
                  <c:y val="-2.93599318126471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416666666666667"/>
                  <c:y val="-0.248275834077441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9675925925925927"/>
                  <c:y val="-5.58852179560029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42590769903762"/>
                  <c:y val="7.08507184024677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777777777777776E-2"/>
                  <c:y val="0.124090965287906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351851851851853E-2"/>
                  <c:y val="0.161843335671463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spc="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8703703703703706E-2"/>
                  <c:y val="0.1780282640384444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0879647856517935"/>
                  <c:y val="0.124557458301345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7129811898512692E-2"/>
                  <c:y val="2.69784210868437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Теплоснабжение</c:v>
                </c:pt>
                <c:pt idx="1">
                  <c:v>Медицинские услуги</c:v>
                </c:pt>
                <c:pt idx="2">
                  <c:v>Жилищное строительство</c:v>
                </c:pt>
                <c:pt idx="3">
                  <c:v>Дошкольное образование</c:v>
                </c:pt>
                <c:pt idx="4">
                  <c:v>Торговля лекарственными препаратами</c:v>
                </c:pt>
                <c:pt idx="5">
                  <c:v>Детский отдых и оздоровление</c:v>
                </c:pt>
                <c:pt idx="6">
                  <c:v>Перевозки по межмуниципальным маршрутам</c:v>
                </c:pt>
                <c:pt idx="7">
                  <c:v>Электрическая энергия</c:v>
                </c:pt>
                <c:pt idx="8">
                  <c:v>Нефтепродукты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0.31</c:v>
                </c:pt>
                <c:pt idx="1">
                  <c:v>0.12</c:v>
                </c:pt>
                <c:pt idx="2">
                  <c:v>0.12</c:v>
                </c:pt>
                <c:pt idx="3">
                  <c:v>0.08</c:v>
                </c:pt>
                <c:pt idx="4">
                  <c:v>0.08</c:v>
                </c:pt>
                <c:pt idx="5">
                  <c:v>7.0000000000000007E-2</c:v>
                </c:pt>
                <c:pt idx="6">
                  <c:v>0.05</c:v>
                </c:pt>
                <c:pt idx="7">
                  <c:v>0.05</c:v>
                </c:pt>
                <c:pt idx="8">
                  <c:v>0.03</c:v>
                </c:pt>
                <c:pt idx="9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Теплоснабжение</c:v>
                </c:pt>
                <c:pt idx="1">
                  <c:v>Медицинские услуги</c:v>
                </c:pt>
                <c:pt idx="2">
                  <c:v>Жилищное строительство</c:v>
                </c:pt>
                <c:pt idx="3">
                  <c:v>Дошкольное образование</c:v>
                </c:pt>
                <c:pt idx="4">
                  <c:v>Торговля лекарственными препаратами</c:v>
                </c:pt>
                <c:pt idx="5">
                  <c:v>Детский отдых и оздоровление</c:v>
                </c:pt>
                <c:pt idx="6">
                  <c:v>Перевозки по межмуниципальным маршрутам</c:v>
                </c:pt>
                <c:pt idx="7">
                  <c:v>Электрическая энергия</c:v>
                </c:pt>
                <c:pt idx="8">
                  <c:v>Нефтепродукты</c:v>
                </c:pt>
                <c:pt idx="9">
                  <c:v>Прочие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Теплоснабжение</c:v>
                </c:pt>
                <c:pt idx="1">
                  <c:v>Медицинские услуги</c:v>
                </c:pt>
                <c:pt idx="2">
                  <c:v>Жилищное строительство</c:v>
                </c:pt>
                <c:pt idx="3">
                  <c:v>Дошкольное образование</c:v>
                </c:pt>
                <c:pt idx="4">
                  <c:v>Торговля лекарственными препаратами</c:v>
                </c:pt>
                <c:pt idx="5">
                  <c:v>Детский отдых и оздоровление</c:v>
                </c:pt>
                <c:pt idx="6">
                  <c:v>Перевозки по межмуниципальным маршрутам</c:v>
                </c:pt>
                <c:pt idx="7">
                  <c:v>Электрическая энергия</c:v>
                </c:pt>
                <c:pt idx="8">
                  <c:v>Нефтепродукты</c:v>
                </c:pt>
                <c:pt idx="9">
                  <c:v>Прочие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Обращался, безрезультатно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Органы судебной власти</c:v>
                </c:pt>
                <c:pt idx="1">
                  <c:v>Прокуратура</c:v>
                </c:pt>
                <c:pt idx="2">
                  <c:v>Органы власти региона</c:v>
                </c:pt>
                <c:pt idx="3">
                  <c:v>Органы местного самоуправления</c:v>
                </c:pt>
                <c:pt idx="4">
                  <c:v>Федеральная антимонопольная служба</c:v>
                </c:pt>
                <c:pt idx="5">
                  <c:v>Росстандарт</c:v>
                </c:pt>
                <c:pt idx="6">
                  <c:v>Роспотребнадзор</c:v>
                </c:pt>
                <c:pt idx="7">
                  <c:v>Уполномоченный по правам человека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Обращался, помогли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Органы судебной власти</c:v>
                </c:pt>
                <c:pt idx="1">
                  <c:v>Прокуратура</c:v>
                </c:pt>
                <c:pt idx="2">
                  <c:v>Органы власти региона</c:v>
                </c:pt>
                <c:pt idx="3">
                  <c:v>Органы местного самоуправления</c:v>
                </c:pt>
                <c:pt idx="4">
                  <c:v>Федеральная антимонопольная служба</c:v>
                </c:pt>
                <c:pt idx="5">
                  <c:v>Росстандарт</c:v>
                </c:pt>
                <c:pt idx="6">
                  <c:v>Роспотребнадзор</c:v>
                </c:pt>
                <c:pt idx="7">
                  <c:v>Уполномоченный по правам человека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3950848"/>
        <c:axId val="173952384"/>
      </c:barChart>
      <c:catAx>
        <c:axId val="173950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173952384"/>
        <c:crosses val="autoZero"/>
        <c:auto val="1"/>
        <c:lblAlgn val="ctr"/>
        <c:lblOffset val="100"/>
        <c:noMultiLvlLbl val="0"/>
      </c:catAx>
      <c:valAx>
        <c:axId val="173952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39508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882562872412018E-2"/>
          <c:y val="0.11797749010187286"/>
          <c:w val="0.89887360465483979"/>
          <c:h val="0.57106027848213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Удовлетворительное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0.31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0.53</c:v>
                </c:pt>
                <c:pt idx="2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0.03</c:v>
                </c:pt>
                <c:pt idx="1">
                  <c:v>0</c:v>
                </c:pt>
                <c:pt idx="2">
                  <c:v>0.03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0.03</c:v>
                </c:pt>
                <c:pt idx="2">
                  <c:v>0.03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0.13</c:v>
                </c:pt>
                <c:pt idx="1">
                  <c:v>0.13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5542656"/>
        <c:axId val="175544192"/>
      </c:barChart>
      <c:catAx>
        <c:axId val="175542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5544192"/>
        <c:crosses val="autoZero"/>
        <c:auto val="1"/>
        <c:lblAlgn val="ctr"/>
        <c:lblOffset val="100"/>
        <c:noMultiLvlLbl val="0"/>
      </c:catAx>
      <c:valAx>
        <c:axId val="1755441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75542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2167850487615612"/>
          <c:w val="0.98942577960887423"/>
          <c:h val="0.13429600960896837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882562872412018E-2"/>
          <c:y val="0.11797749010187286"/>
          <c:w val="0.89887360465483979"/>
          <c:h val="0.57106027848213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Удовлетворительное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0.26</c:v>
                </c:pt>
                <c:pt idx="2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0.34</c:v>
                </c:pt>
                <c:pt idx="1">
                  <c:v>0.33</c:v>
                </c:pt>
                <c:pt idx="2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Неудовлетворительное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0.03</c:v>
                </c:pt>
                <c:pt idx="1">
                  <c:v>0.02</c:v>
                </c:pt>
                <c:pt idx="2">
                  <c:v>0.03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0.34</c:v>
                </c:pt>
                <c:pt idx="1">
                  <c:v>0.34</c:v>
                </c:pt>
                <c:pt idx="2">
                  <c:v>0.36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3808256"/>
        <c:axId val="173822336"/>
      </c:barChart>
      <c:catAx>
        <c:axId val="173808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3822336"/>
        <c:crosses val="autoZero"/>
        <c:auto val="1"/>
        <c:lblAlgn val="ctr"/>
        <c:lblOffset val="100"/>
        <c:noMultiLvlLbl val="0"/>
      </c:catAx>
      <c:valAx>
        <c:axId val="1738223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73808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2167850487615612"/>
          <c:w val="0.98942577960887423"/>
          <c:h val="0.13429600960896837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CB45-0D21-4A0B-A552-21FCB743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25</Pages>
  <Words>6569</Words>
  <Characters>37448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Anastasia</cp:lastModifiedBy>
  <cp:revision>490</cp:revision>
  <cp:lastPrinted>2022-02-14T12:20:00Z</cp:lastPrinted>
  <dcterms:created xsi:type="dcterms:W3CDTF">2022-02-05T21:23:00Z</dcterms:created>
  <dcterms:modified xsi:type="dcterms:W3CDTF">2025-02-12T11:50:00Z</dcterms:modified>
</cp:coreProperties>
</file>